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69" w:rsidRDefault="00CA1508" w:rsidP="00CA1508">
      <w:pPr>
        <w:tabs>
          <w:tab w:val="left" w:pos="2296"/>
        </w:tabs>
        <w:rPr>
          <w:rFonts w:ascii="Arial Black" w:hAnsi="Arial Black"/>
          <w:sz w:val="32"/>
          <w:szCs w:val="32"/>
        </w:rPr>
      </w:pPr>
      <w:r w:rsidRPr="00CA1508">
        <w:rPr>
          <w:rFonts w:ascii="Arial Black" w:hAnsi="Arial Black"/>
          <w:sz w:val="32"/>
          <w:szCs w:val="32"/>
        </w:rPr>
        <w:t>Mustertaxordnung schwere Sprache</w:t>
      </w:r>
    </w:p>
    <w:p w:rsidR="00CA1508" w:rsidRDefault="00CA1508" w:rsidP="00CA1508">
      <w:pPr>
        <w:tabs>
          <w:tab w:val="left" w:pos="2296"/>
        </w:tabs>
        <w:rPr>
          <w:rFonts w:ascii="Arial Black" w:hAnsi="Arial Black"/>
          <w:sz w:val="32"/>
          <w:szCs w:val="32"/>
        </w:rPr>
      </w:pPr>
    </w:p>
    <w:p w:rsidR="00CA1508" w:rsidRPr="00F11090" w:rsidRDefault="00CA1508" w:rsidP="00CA1508">
      <w:pPr>
        <w:spacing w:line="400" w:lineRule="exact"/>
        <w:rPr>
          <w:rFonts w:ascii="Arial Black" w:hAnsi="Arial Black" w:cs="Arial"/>
          <w:b/>
          <w:sz w:val="32"/>
          <w:szCs w:val="32"/>
        </w:rPr>
      </w:pPr>
      <w:r w:rsidRPr="0094023A">
        <w:rPr>
          <w:rFonts w:ascii="Arial" w:hAnsi="Arial" w:cs="Arial"/>
          <w:sz w:val="21"/>
          <w:szCs w:val="21"/>
        </w:rPr>
        <w:t xml:space="preserve">Das folgende Dokument enthält Inhalte, die in einer Taxordnung enthalten sein sollen. </w:t>
      </w:r>
    </w:p>
    <w:p w:rsidR="00CA1508" w:rsidRPr="0094023A" w:rsidRDefault="00CA1508" w:rsidP="00CA1508">
      <w:pPr>
        <w:spacing w:line="240" w:lineRule="exact"/>
        <w:rPr>
          <w:rFonts w:ascii="Arial" w:hAnsi="Arial" w:cs="Arial"/>
          <w:sz w:val="21"/>
          <w:szCs w:val="21"/>
        </w:rPr>
      </w:pPr>
      <w:r w:rsidRPr="0094023A">
        <w:rPr>
          <w:rFonts w:ascii="Arial" w:hAnsi="Arial" w:cs="Arial"/>
          <w:sz w:val="21"/>
          <w:szCs w:val="21"/>
        </w:rPr>
        <w:t xml:space="preserve">Sie können die Mustertaxordnung als Vorlage benutzen oder eine eigene erstellen. Wenn Sie </w:t>
      </w:r>
      <w:r>
        <w:rPr>
          <w:rFonts w:ascii="Arial" w:hAnsi="Arial" w:cs="Arial"/>
          <w:sz w:val="21"/>
          <w:szCs w:val="21"/>
        </w:rPr>
        <w:t xml:space="preserve">es bevorzugen, </w:t>
      </w:r>
      <w:r w:rsidRPr="0094023A">
        <w:rPr>
          <w:rFonts w:ascii="Arial" w:hAnsi="Arial" w:cs="Arial"/>
          <w:sz w:val="21"/>
          <w:szCs w:val="21"/>
        </w:rPr>
        <w:t xml:space="preserve">eine eigene Taxordnung </w:t>
      </w:r>
      <w:r>
        <w:rPr>
          <w:rFonts w:ascii="Arial" w:hAnsi="Arial" w:cs="Arial"/>
          <w:sz w:val="21"/>
          <w:szCs w:val="21"/>
        </w:rPr>
        <w:t>zu erstellen</w:t>
      </w:r>
      <w:r w:rsidRPr="0094023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sind</w:t>
      </w:r>
      <w:r w:rsidRPr="0094023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insbesondere </w:t>
      </w:r>
      <w:r w:rsidRPr="0094023A"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>r</w:t>
      </w:r>
      <w:r w:rsidRPr="0094023A">
        <w:rPr>
          <w:rFonts w:ascii="Arial" w:hAnsi="Arial" w:cs="Arial"/>
          <w:sz w:val="21"/>
          <w:szCs w:val="21"/>
        </w:rPr>
        <w:t xml:space="preserve"> Grundleistungskatalog sowie die </w:t>
      </w:r>
      <w:r>
        <w:rPr>
          <w:rFonts w:ascii="Arial" w:hAnsi="Arial" w:cs="Arial"/>
          <w:sz w:val="21"/>
          <w:szCs w:val="21"/>
        </w:rPr>
        <w:t xml:space="preserve">Vorgaben zur </w:t>
      </w:r>
      <w:proofErr w:type="spellStart"/>
      <w:r>
        <w:rPr>
          <w:rFonts w:ascii="Arial" w:hAnsi="Arial" w:cs="Arial"/>
          <w:sz w:val="21"/>
          <w:szCs w:val="21"/>
        </w:rPr>
        <w:t>Taxhöhe</w:t>
      </w:r>
      <w:proofErr w:type="spellEnd"/>
      <w:r>
        <w:rPr>
          <w:rFonts w:ascii="Arial" w:hAnsi="Arial" w:cs="Arial"/>
          <w:sz w:val="21"/>
          <w:szCs w:val="21"/>
        </w:rPr>
        <w:t xml:space="preserve"> des Kantonalen Sozialamtes</w:t>
      </w:r>
      <w:r w:rsidRPr="0094023A">
        <w:rPr>
          <w:rFonts w:ascii="Arial" w:hAnsi="Arial" w:cs="Arial"/>
          <w:sz w:val="21"/>
          <w:szCs w:val="21"/>
        </w:rPr>
        <w:t xml:space="preserve"> zu berücksichtigen. </w:t>
      </w:r>
    </w:p>
    <w:p w:rsidR="00CA1508" w:rsidRPr="0094023A" w:rsidRDefault="00CA1508" w:rsidP="00CA1508">
      <w:pPr>
        <w:spacing w:line="240" w:lineRule="exact"/>
        <w:rPr>
          <w:rFonts w:ascii="Arial" w:hAnsi="Arial" w:cs="Arial"/>
          <w:sz w:val="21"/>
          <w:szCs w:val="21"/>
        </w:rPr>
      </w:pPr>
      <w:r w:rsidRPr="0094023A">
        <w:rPr>
          <w:rFonts w:ascii="Arial" w:hAnsi="Arial" w:cs="Arial"/>
          <w:sz w:val="21"/>
          <w:szCs w:val="21"/>
        </w:rPr>
        <w:t>Falls Sie sich auf die</w:t>
      </w:r>
      <w:r>
        <w:rPr>
          <w:rFonts w:ascii="Arial" w:hAnsi="Arial" w:cs="Arial"/>
          <w:sz w:val="21"/>
          <w:szCs w:val="21"/>
        </w:rPr>
        <w:t>se</w:t>
      </w:r>
      <w:r w:rsidRPr="0094023A">
        <w:rPr>
          <w:rFonts w:ascii="Arial" w:hAnsi="Arial" w:cs="Arial"/>
          <w:sz w:val="21"/>
          <w:szCs w:val="21"/>
        </w:rPr>
        <w:t xml:space="preserve"> Vorlage stützen wollen: </w:t>
      </w:r>
    </w:p>
    <w:p w:rsidR="00CA1508" w:rsidRDefault="00CA1508" w:rsidP="00CA1508">
      <w:pPr>
        <w:spacing w:line="24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D</w:t>
      </w:r>
      <w:r w:rsidRPr="00A94E76">
        <w:rPr>
          <w:rFonts w:ascii="Arial" w:hAnsi="Arial" w:cs="Arial"/>
          <w:sz w:val="21"/>
          <w:szCs w:val="21"/>
          <w:highlight w:val="lightGray"/>
        </w:rPr>
        <w:t xml:space="preserve">iejenigen Passagen, </w:t>
      </w:r>
      <w:r>
        <w:rPr>
          <w:rFonts w:ascii="Arial" w:hAnsi="Arial" w:cs="Arial"/>
          <w:sz w:val="21"/>
          <w:szCs w:val="21"/>
          <w:highlight w:val="lightGray"/>
        </w:rPr>
        <w:t>die</w:t>
      </w:r>
      <w:r w:rsidRPr="00A94E76">
        <w:rPr>
          <w:rFonts w:ascii="Arial" w:hAnsi="Arial" w:cs="Arial"/>
          <w:sz w:val="21"/>
          <w:szCs w:val="21"/>
          <w:highlight w:val="lightGray"/>
        </w:rPr>
        <w:t xml:space="preserve"> individuell auszufüllen sind, </w:t>
      </w:r>
      <w:r>
        <w:rPr>
          <w:rFonts w:ascii="Arial" w:hAnsi="Arial" w:cs="Arial"/>
          <w:sz w:val="21"/>
          <w:szCs w:val="21"/>
          <w:highlight w:val="lightGray"/>
        </w:rPr>
        <w:t xml:space="preserve">sind </w:t>
      </w:r>
      <w:r w:rsidRPr="00A94E76">
        <w:rPr>
          <w:rFonts w:ascii="Arial" w:hAnsi="Arial" w:cs="Arial"/>
          <w:sz w:val="21"/>
          <w:szCs w:val="21"/>
          <w:highlight w:val="lightGray"/>
        </w:rPr>
        <w:t>grau hinterlegt.</w:t>
      </w:r>
      <w:r w:rsidRPr="0094023A">
        <w:rPr>
          <w:rFonts w:ascii="Arial" w:hAnsi="Arial" w:cs="Arial"/>
          <w:sz w:val="21"/>
          <w:szCs w:val="21"/>
        </w:rPr>
        <w:t xml:space="preserve"> </w:t>
      </w:r>
    </w:p>
    <w:p w:rsidR="00CA1508" w:rsidRDefault="00CA1508" w:rsidP="00CA1508">
      <w:pPr>
        <w:spacing w:line="240" w:lineRule="exact"/>
        <w:rPr>
          <w:rFonts w:ascii="Arial" w:hAnsi="Arial" w:cs="Arial"/>
          <w:sz w:val="21"/>
          <w:szCs w:val="21"/>
        </w:rPr>
      </w:pPr>
      <w:r w:rsidRPr="00A6075E">
        <w:rPr>
          <w:rFonts w:ascii="Arial" w:hAnsi="Arial" w:cs="Arial"/>
          <w:sz w:val="21"/>
          <w:szCs w:val="21"/>
          <w:highlight w:val="green"/>
        </w:rPr>
        <w:t xml:space="preserve">Diejenigen Elemente, die nur für beitragsberechtigte </w:t>
      </w:r>
      <w:r>
        <w:rPr>
          <w:rFonts w:ascii="Arial" w:hAnsi="Arial" w:cs="Arial"/>
          <w:sz w:val="21"/>
          <w:szCs w:val="21"/>
          <w:highlight w:val="green"/>
        </w:rPr>
        <w:t xml:space="preserve">Institutionen </w:t>
      </w:r>
      <w:r w:rsidRPr="00A6075E">
        <w:rPr>
          <w:rFonts w:ascii="Arial" w:hAnsi="Arial" w:cs="Arial"/>
          <w:sz w:val="21"/>
          <w:szCs w:val="21"/>
          <w:highlight w:val="green"/>
        </w:rPr>
        <w:t xml:space="preserve">gelten, sind grün </w:t>
      </w:r>
      <w:r>
        <w:rPr>
          <w:rFonts w:ascii="Arial" w:hAnsi="Arial" w:cs="Arial"/>
          <w:sz w:val="21"/>
          <w:szCs w:val="21"/>
          <w:highlight w:val="green"/>
        </w:rPr>
        <w:t>hinterlegt</w:t>
      </w:r>
      <w:r w:rsidRPr="00A6075E">
        <w:rPr>
          <w:rFonts w:ascii="Arial" w:hAnsi="Arial" w:cs="Arial"/>
          <w:sz w:val="21"/>
          <w:szCs w:val="21"/>
          <w:highlight w:val="green"/>
        </w:rPr>
        <w:t>.</w:t>
      </w:r>
    </w:p>
    <w:p w:rsidR="00CA1508" w:rsidRDefault="00CA1508" w:rsidP="00CA1508">
      <w:pPr>
        <w:tabs>
          <w:tab w:val="left" w:pos="2296"/>
        </w:tabs>
        <w:rPr>
          <w:rFonts w:ascii="Arial" w:hAnsi="Arial"/>
          <w:sz w:val="21"/>
        </w:rPr>
      </w:pPr>
      <w:r w:rsidRPr="00F8633B">
        <w:rPr>
          <w:rFonts w:ascii="Arial" w:hAnsi="Arial"/>
          <w:sz w:val="21"/>
          <w:highlight w:val="yellow"/>
        </w:rPr>
        <w:t xml:space="preserve">Diejenigen Elemente, die nur für beitragsberechtigte Institutionen mit </w:t>
      </w:r>
      <w:r w:rsidRPr="00FF5AF0">
        <w:rPr>
          <w:rFonts w:ascii="Arial" w:hAnsi="Arial" w:cs="Arial"/>
          <w:sz w:val="21"/>
          <w:szCs w:val="21"/>
          <w:highlight w:val="yellow"/>
        </w:rPr>
        <w:t xml:space="preserve">nach der IBB-Gesamteinstufung differenzierten Taxen </w:t>
      </w:r>
      <w:r w:rsidRPr="00F8633B">
        <w:rPr>
          <w:rFonts w:ascii="Arial" w:hAnsi="Arial"/>
          <w:sz w:val="21"/>
          <w:highlight w:val="yellow"/>
        </w:rPr>
        <w:t xml:space="preserve">gelten, sind </w:t>
      </w:r>
      <w:r>
        <w:rPr>
          <w:rFonts w:ascii="Arial" w:hAnsi="Arial" w:cs="Arial"/>
          <w:sz w:val="21"/>
          <w:szCs w:val="21"/>
          <w:highlight w:val="yellow"/>
        </w:rPr>
        <w:t>gelb</w:t>
      </w:r>
      <w:r w:rsidRPr="00F8633B">
        <w:rPr>
          <w:rFonts w:ascii="Arial" w:hAnsi="Arial"/>
          <w:sz w:val="21"/>
          <w:highlight w:val="yellow"/>
        </w:rPr>
        <w:t xml:space="preserve"> </w:t>
      </w:r>
      <w:r>
        <w:rPr>
          <w:rFonts w:ascii="Arial" w:hAnsi="Arial"/>
          <w:sz w:val="21"/>
          <w:highlight w:val="yellow"/>
        </w:rPr>
        <w:t>hinterlegt</w:t>
      </w:r>
      <w:r w:rsidRPr="00F8633B">
        <w:rPr>
          <w:rFonts w:ascii="Arial" w:hAnsi="Arial"/>
          <w:sz w:val="21"/>
          <w:highlight w:val="yellow"/>
        </w:rPr>
        <w:t>.</w:t>
      </w:r>
    </w:p>
    <w:p w:rsidR="00CA1508" w:rsidRDefault="00CA1508" w:rsidP="00CA1508">
      <w:pPr>
        <w:tabs>
          <w:tab w:val="left" w:pos="2296"/>
        </w:tabs>
        <w:rPr>
          <w:rFonts w:ascii="Arial Black" w:hAnsi="Arial Black"/>
          <w:sz w:val="32"/>
          <w:szCs w:val="32"/>
        </w:rPr>
      </w:pPr>
    </w:p>
    <w:p w:rsidR="00CA1508" w:rsidRDefault="00CA1508" w:rsidP="00CA1508">
      <w:pPr>
        <w:tabs>
          <w:tab w:val="left" w:pos="2296"/>
        </w:tabs>
        <w:rPr>
          <w:rFonts w:ascii="Arial Black" w:hAnsi="Arial Black"/>
          <w:sz w:val="32"/>
          <w:szCs w:val="32"/>
        </w:rPr>
      </w:pPr>
    </w:p>
    <w:p w:rsidR="00CA1508" w:rsidRDefault="00CA1508" w:rsidP="00CA1508">
      <w:pPr>
        <w:tabs>
          <w:tab w:val="left" w:pos="2296"/>
        </w:tabs>
        <w:rPr>
          <w:rFonts w:ascii="Arial Black" w:hAnsi="Arial Black"/>
          <w:sz w:val="32"/>
          <w:szCs w:val="32"/>
        </w:rPr>
        <w:sectPr w:rsidR="00CA1508" w:rsidSect="00614C4A">
          <w:headerReference w:type="default" r:id="rId7"/>
          <w:pgSz w:w="11906" w:h="16838"/>
          <w:pgMar w:top="3062" w:right="1418" w:bottom="1134" w:left="2466" w:header="709" w:footer="709" w:gutter="0"/>
          <w:cols w:space="708"/>
          <w:docGrid w:linePitch="360"/>
        </w:sectPr>
      </w:pPr>
    </w:p>
    <w:p w:rsidR="00CA1508" w:rsidRDefault="00CA1508" w:rsidP="00CA1508">
      <w:pPr>
        <w:tabs>
          <w:tab w:val="left" w:pos="2296"/>
        </w:tabs>
        <w:rPr>
          <w:rFonts w:ascii="Arial" w:hAnsi="Arial" w:cs="Arial"/>
          <w:color w:val="2F5496" w:themeColor="accent5" w:themeShade="BF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Taxordnung </w:t>
      </w:r>
      <w:r w:rsidRPr="00CA1508">
        <w:rPr>
          <w:rFonts w:ascii="Arial" w:hAnsi="Arial" w:cs="Arial"/>
          <w:color w:val="2F5496" w:themeColor="accent5" w:themeShade="BF"/>
          <w:sz w:val="32"/>
          <w:szCs w:val="32"/>
          <w:highlight w:val="lightGray"/>
        </w:rPr>
        <w:t>Name Institution</w:t>
      </w:r>
    </w:p>
    <w:p w:rsidR="00CA1508" w:rsidRDefault="00CA1508" w:rsidP="00CA1508">
      <w:pPr>
        <w:spacing w:line="248" w:lineRule="exact"/>
        <w:rPr>
          <w:rFonts w:ascii="Arial Black" w:hAnsi="Arial Black" w:cs="Arial"/>
          <w:b/>
          <w:sz w:val="21"/>
          <w:szCs w:val="21"/>
        </w:rPr>
      </w:pPr>
    </w:p>
    <w:p w:rsidR="00CA1508" w:rsidRPr="001F25F0" w:rsidRDefault="00CA1508" w:rsidP="00CA1508">
      <w:pPr>
        <w:spacing w:line="248" w:lineRule="exact"/>
        <w:rPr>
          <w:rFonts w:ascii="Arial Black" w:hAnsi="Arial Black" w:cs="Arial"/>
          <w:b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Gültigkeit</w:t>
      </w:r>
    </w:p>
    <w:p w:rsidR="00CA1508" w:rsidRPr="001F25F0" w:rsidRDefault="00CA1508" w:rsidP="00CA1508">
      <w:pPr>
        <w:spacing w:after="60" w:line="248" w:lineRule="exact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>Tarife ab 1.1.20</w:t>
      </w:r>
      <w:r>
        <w:rPr>
          <w:rFonts w:ascii="Arial" w:hAnsi="Arial" w:cs="Arial"/>
          <w:sz w:val="21"/>
          <w:szCs w:val="21"/>
        </w:rPr>
        <w:t>2</w:t>
      </w:r>
      <w:r w:rsidRPr="00F8633B">
        <w:rPr>
          <w:rFonts w:ascii="Arial" w:hAnsi="Arial"/>
          <w:color w:val="2F5496" w:themeColor="accent5" w:themeShade="BF"/>
          <w:sz w:val="21"/>
          <w:highlight w:val="lightGray"/>
        </w:rPr>
        <w:t>Y</w:t>
      </w:r>
      <w:r w:rsidRPr="001F25F0">
        <w:rPr>
          <w:rFonts w:ascii="Arial" w:hAnsi="Arial" w:cs="Arial"/>
          <w:sz w:val="21"/>
          <w:szCs w:val="21"/>
        </w:rPr>
        <w:t xml:space="preserve"> bis 31.12.20</w:t>
      </w:r>
      <w:r>
        <w:rPr>
          <w:rFonts w:ascii="Arial" w:hAnsi="Arial" w:cs="Arial"/>
          <w:sz w:val="21"/>
          <w:szCs w:val="21"/>
        </w:rPr>
        <w:t>2</w:t>
      </w:r>
      <w:r w:rsidRPr="00F8633B">
        <w:rPr>
          <w:rFonts w:ascii="Arial" w:hAnsi="Arial"/>
          <w:color w:val="2F5496" w:themeColor="accent5" w:themeShade="BF"/>
          <w:sz w:val="21"/>
          <w:highlight w:val="lightGray"/>
        </w:rPr>
        <w:t>Y</w:t>
      </w:r>
    </w:p>
    <w:p w:rsidR="00CA1508" w:rsidRPr="001F25F0" w:rsidRDefault="00CA1508" w:rsidP="00CA1508">
      <w:pPr>
        <w:spacing w:after="60" w:line="240" w:lineRule="exact"/>
        <w:rPr>
          <w:rFonts w:ascii="Arial" w:hAnsi="Arial" w:cs="Arial"/>
          <w:sz w:val="21"/>
          <w:szCs w:val="21"/>
        </w:rPr>
      </w:pPr>
      <w:r w:rsidRPr="00FF5AF0">
        <w:rPr>
          <w:rFonts w:ascii="Arial" w:hAnsi="Arial" w:cs="Arial"/>
          <w:sz w:val="21"/>
          <w:szCs w:val="21"/>
          <w:highlight w:val="green"/>
        </w:rPr>
        <w:t>Diese Taxordnung gilt für Personen mit Wohnsitz im Kanton Zürich mit IV-Rente</w:t>
      </w:r>
      <w:r w:rsidRPr="00FF5AF0">
        <w:rPr>
          <w:rStyle w:val="Funotenzeichen"/>
          <w:rFonts w:ascii="Arial" w:hAnsi="Arial" w:cs="Arial"/>
          <w:sz w:val="21"/>
          <w:szCs w:val="21"/>
          <w:highlight w:val="green"/>
        </w:rPr>
        <w:footnoteReference w:id="1"/>
      </w:r>
      <w:r w:rsidRPr="00FF5AF0">
        <w:rPr>
          <w:rFonts w:ascii="Arial" w:hAnsi="Arial" w:cs="Arial"/>
          <w:sz w:val="21"/>
          <w:szCs w:val="21"/>
          <w:highlight w:val="green"/>
        </w:rPr>
        <w:t>, die beitragsberechtigte Plätze</w:t>
      </w:r>
      <w:r w:rsidRPr="00FF5AF0">
        <w:rPr>
          <w:rStyle w:val="Funotenzeichen"/>
          <w:rFonts w:ascii="Arial" w:hAnsi="Arial" w:cs="Arial"/>
          <w:sz w:val="21"/>
          <w:szCs w:val="21"/>
          <w:highlight w:val="green"/>
        </w:rPr>
        <w:footnoteReference w:id="2"/>
      </w:r>
      <w:r w:rsidRPr="00FF5AF0">
        <w:rPr>
          <w:rFonts w:ascii="Arial" w:hAnsi="Arial" w:cs="Arial"/>
          <w:sz w:val="21"/>
          <w:szCs w:val="21"/>
          <w:highlight w:val="green"/>
        </w:rPr>
        <w:t xml:space="preserve"> belegen.</w:t>
      </w:r>
      <w:r w:rsidRPr="00FF5AF0">
        <w:rPr>
          <w:rFonts w:ascii="Arial" w:hAnsi="Arial" w:cs="Arial"/>
          <w:sz w:val="21"/>
          <w:szCs w:val="21"/>
          <w:highlight w:val="green"/>
        </w:rPr>
        <w:br/>
        <w:t>Für Personen ohne IV-Rente können die Pensionspreise abweichen.</w:t>
      </w:r>
      <w:r w:rsidRPr="00FF5AF0">
        <w:rPr>
          <w:rFonts w:ascii="Arial" w:hAnsi="Arial" w:cs="Arial"/>
          <w:sz w:val="21"/>
          <w:szCs w:val="21"/>
          <w:highlight w:val="green"/>
        </w:rPr>
        <w:br/>
        <w:t xml:space="preserve">Bei Personen, die über die Interkantonale Vereinbarung über </w:t>
      </w:r>
      <w:proofErr w:type="spellStart"/>
      <w:r w:rsidRPr="00FF5AF0">
        <w:rPr>
          <w:rFonts w:ascii="Arial" w:hAnsi="Arial" w:cs="Arial"/>
          <w:sz w:val="21"/>
          <w:szCs w:val="21"/>
          <w:highlight w:val="green"/>
        </w:rPr>
        <w:t>Soziale</w:t>
      </w:r>
      <w:proofErr w:type="spellEnd"/>
      <w:r w:rsidRPr="00FF5AF0">
        <w:rPr>
          <w:rFonts w:ascii="Arial" w:hAnsi="Arial" w:cs="Arial"/>
          <w:sz w:val="21"/>
          <w:szCs w:val="21"/>
          <w:highlight w:val="green"/>
        </w:rPr>
        <w:t xml:space="preserve"> Einrichtungen (IVSE) verrechnet werden, legt der zuständige Kanton die Taxen fest.</w:t>
      </w:r>
    </w:p>
    <w:p w:rsidR="00CA1508" w:rsidRPr="001F25F0" w:rsidRDefault="00CA1508" w:rsidP="00CA1508">
      <w:pPr>
        <w:spacing w:after="60" w:line="248" w:lineRule="exact"/>
        <w:rPr>
          <w:rFonts w:ascii="Arial" w:hAnsi="Arial" w:cs="Arial"/>
          <w:sz w:val="21"/>
          <w:szCs w:val="21"/>
        </w:rPr>
      </w:pPr>
    </w:p>
    <w:p w:rsidR="00CA1508" w:rsidRPr="001F25F0" w:rsidRDefault="00CA1508" w:rsidP="00CA1508">
      <w:pPr>
        <w:spacing w:line="240" w:lineRule="exact"/>
        <w:rPr>
          <w:rFonts w:ascii="Arial Black" w:hAnsi="Arial Black" w:cs="Arial"/>
          <w:b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Finanzierung des Aufenthalts</w:t>
      </w:r>
    </w:p>
    <w:p w:rsidR="00CA1508" w:rsidRPr="00A6075E" w:rsidRDefault="00CA1508" w:rsidP="00CA1508">
      <w:pPr>
        <w:spacing w:line="240" w:lineRule="exact"/>
        <w:rPr>
          <w:rFonts w:ascii="Arial" w:hAnsi="Arial" w:cs="Arial"/>
          <w:sz w:val="21"/>
          <w:szCs w:val="21"/>
          <w:highlight w:val="green"/>
        </w:rPr>
      </w:pPr>
      <w:r w:rsidRPr="00A6075E">
        <w:rPr>
          <w:rFonts w:ascii="Arial" w:hAnsi="Arial" w:cs="Arial"/>
          <w:sz w:val="21"/>
          <w:szCs w:val="21"/>
          <w:highlight w:val="green"/>
        </w:rPr>
        <w:t>Die (vom Kanton vorgegebenen) Normkosten</w:t>
      </w:r>
      <w:r w:rsidRPr="00A6075E">
        <w:rPr>
          <w:rStyle w:val="Funotenzeichen"/>
          <w:rFonts w:ascii="Arial" w:hAnsi="Arial" w:cs="Arial"/>
          <w:sz w:val="21"/>
          <w:szCs w:val="21"/>
          <w:highlight w:val="green"/>
        </w:rPr>
        <w:footnoteReference w:id="3"/>
      </w:r>
      <w:r w:rsidRPr="00A6075E">
        <w:rPr>
          <w:rFonts w:ascii="Arial" w:hAnsi="Arial" w:cs="Arial"/>
          <w:sz w:val="21"/>
          <w:szCs w:val="21"/>
          <w:highlight w:val="green"/>
        </w:rPr>
        <w:t xml:space="preserve"> eines Wohnaufenthaltes werden durch die Bewohnerinnen und Bewohner sowie den Kanton getragen. Die Bewohnerin oder der Bewohner bezahlt maximal die Normkosten.</w:t>
      </w:r>
      <w:r w:rsidRPr="00A6075E">
        <w:rPr>
          <w:rFonts w:ascii="Arial" w:hAnsi="Arial" w:cs="Arial"/>
          <w:sz w:val="21"/>
          <w:szCs w:val="21"/>
          <w:highlight w:val="green"/>
        </w:rPr>
        <w:br/>
        <w:t>Die Verteilung der Beiträge erfolgt dabei folgendermassen:</w:t>
      </w:r>
    </w:p>
    <w:p w:rsidR="00CA1508" w:rsidRPr="00A6075E" w:rsidRDefault="00CA1508" w:rsidP="00CA1508">
      <w:pPr>
        <w:pStyle w:val="Listenabsatz"/>
        <w:numPr>
          <w:ilvl w:val="0"/>
          <w:numId w:val="2"/>
        </w:numPr>
        <w:spacing w:line="240" w:lineRule="exact"/>
        <w:ind w:left="714" w:hanging="357"/>
        <w:contextualSpacing w:val="0"/>
        <w:outlineLvl w:val="0"/>
        <w:rPr>
          <w:rFonts w:ascii="Arial" w:hAnsi="Arial" w:cs="Arial"/>
          <w:sz w:val="21"/>
          <w:szCs w:val="21"/>
          <w:highlight w:val="green"/>
        </w:rPr>
      </w:pPr>
      <w:r w:rsidRPr="00A6075E">
        <w:rPr>
          <w:rFonts w:ascii="Arial Black" w:hAnsi="Arial Black" w:cs="Arial"/>
          <w:b/>
          <w:sz w:val="21"/>
          <w:szCs w:val="21"/>
          <w:highlight w:val="green"/>
        </w:rPr>
        <w:t>Bewohnerinnen</w:t>
      </w:r>
      <w:r w:rsidRPr="00A6075E">
        <w:rPr>
          <w:rFonts w:ascii="Arial" w:hAnsi="Arial" w:cs="Arial"/>
          <w:b/>
          <w:sz w:val="21"/>
          <w:szCs w:val="21"/>
          <w:highlight w:val="green"/>
        </w:rPr>
        <w:t xml:space="preserve"> </w:t>
      </w:r>
      <w:r w:rsidRPr="00A6075E">
        <w:rPr>
          <w:rFonts w:ascii="Arial Black" w:hAnsi="Arial Black" w:cs="Arial"/>
          <w:b/>
          <w:sz w:val="21"/>
          <w:szCs w:val="21"/>
          <w:highlight w:val="green"/>
        </w:rPr>
        <w:t>und</w:t>
      </w:r>
      <w:r w:rsidRPr="00A6075E">
        <w:rPr>
          <w:rFonts w:ascii="Arial" w:hAnsi="Arial" w:cs="Arial"/>
          <w:b/>
          <w:sz w:val="21"/>
          <w:szCs w:val="21"/>
          <w:highlight w:val="green"/>
        </w:rPr>
        <w:t xml:space="preserve"> </w:t>
      </w:r>
      <w:r w:rsidRPr="00A6075E">
        <w:rPr>
          <w:rFonts w:ascii="Arial Black" w:hAnsi="Arial Black" w:cs="Arial"/>
          <w:b/>
          <w:sz w:val="21"/>
          <w:szCs w:val="21"/>
          <w:highlight w:val="green"/>
        </w:rPr>
        <w:t>Bewohner</w:t>
      </w:r>
      <w:r w:rsidRPr="00A6075E">
        <w:rPr>
          <w:rFonts w:ascii="Arial" w:hAnsi="Arial" w:cs="Arial"/>
          <w:b/>
          <w:sz w:val="21"/>
          <w:szCs w:val="21"/>
          <w:highlight w:val="green"/>
        </w:rPr>
        <w:t>:</w:t>
      </w:r>
      <w:r w:rsidRPr="00A6075E">
        <w:rPr>
          <w:rFonts w:ascii="Arial" w:hAnsi="Arial" w:cs="Arial"/>
          <w:sz w:val="21"/>
          <w:szCs w:val="21"/>
          <w:highlight w:val="green"/>
        </w:rPr>
        <w:br/>
        <w:t xml:space="preserve">Pensionskosten (Zimmer und Mahlzeiten) und ein Anteil an die Betreuung werden mit </w:t>
      </w:r>
      <w:r w:rsidRPr="00A6075E">
        <w:rPr>
          <w:rFonts w:ascii="Arial Black" w:hAnsi="Arial Black" w:cs="Arial"/>
          <w:b/>
          <w:color w:val="2F5496" w:themeColor="accent5" w:themeShade="BF"/>
          <w:sz w:val="21"/>
          <w:szCs w:val="21"/>
          <w:highlight w:val="green"/>
        </w:rPr>
        <w:t>Taxen</w:t>
      </w:r>
      <w:r w:rsidRPr="00A6075E">
        <w:rPr>
          <w:rFonts w:ascii="Arial" w:hAnsi="Arial" w:cs="Arial"/>
          <w:b/>
          <w:color w:val="2F5496" w:themeColor="accent5" w:themeShade="BF"/>
          <w:sz w:val="21"/>
          <w:szCs w:val="21"/>
          <w:highlight w:val="green"/>
        </w:rPr>
        <w:t xml:space="preserve"> </w:t>
      </w:r>
      <w:r w:rsidRPr="00A6075E">
        <w:rPr>
          <w:rFonts w:ascii="Arial" w:hAnsi="Arial" w:cs="Arial"/>
          <w:sz w:val="21"/>
          <w:szCs w:val="21"/>
          <w:highlight w:val="green"/>
        </w:rPr>
        <w:t>finanziert</w:t>
      </w:r>
      <w:r>
        <w:rPr>
          <w:rFonts w:ascii="Arial" w:hAnsi="Arial" w:cs="Arial"/>
          <w:sz w:val="21"/>
          <w:szCs w:val="21"/>
          <w:highlight w:val="green"/>
        </w:rPr>
        <w:t>.</w:t>
      </w:r>
      <w:r w:rsidRPr="00A6075E">
        <w:rPr>
          <w:rFonts w:ascii="Arial" w:hAnsi="Arial" w:cs="Arial"/>
          <w:sz w:val="21"/>
          <w:szCs w:val="21"/>
          <w:highlight w:val="green"/>
        </w:rPr>
        <w:br/>
      </w:r>
      <w:r>
        <w:rPr>
          <w:rFonts w:ascii="Arial" w:hAnsi="Arial" w:cs="Arial"/>
          <w:sz w:val="21"/>
          <w:szCs w:val="21"/>
          <w:highlight w:val="green"/>
        </w:rPr>
        <w:t>F</w:t>
      </w:r>
      <w:r w:rsidRPr="00A6075E">
        <w:rPr>
          <w:rFonts w:ascii="Arial" w:hAnsi="Arial" w:cs="Arial"/>
          <w:sz w:val="21"/>
          <w:szCs w:val="21"/>
          <w:highlight w:val="green"/>
        </w:rPr>
        <w:t xml:space="preserve">ür nicht im Grundleistungskatalog enthaltene Leistungen verrechnen wir </w:t>
      </w:r>
      <w:r w:rsidRPr="00A6075E">
        <w:rPr>
          <w:rFonts w:ascii="Arial" w:hAnsi="Arial" w:cs="Arial"/>
          <w:color w:val="2F5496" w:themeColor="accent5" w:themeShade="BF"/>
          <w:sz w:val="21"/>
          <w:szCs w:val="21"/>
          <w:highlight w:val="green"/>
        </w:rPr>
        <w:t>→→</w:t>
      </w:r>
      <w:r w:rsidRPr="00A6075E">
        <w:rPr>
          <w:rFonts w:ascii="Arial" w:hAnsi="Arial" w:cs="Arial"/>
          <w:b/>
          <w:color w:val="2F5496" w:themeColor="accent5" w:themeShade="BF"/>
          <w:sz w:val="21"/>
          <w:szCs w:val="21"/>
          <w:highlight w:val="green"/>
        </w:rPr>
        <w:t xml:space="preserve"> </w:t>
      </w:r>
      <w:r w:rsidRPr="00A6075E">
        <w:rPr>
          <w:rFonts w:ascii="Arial Black" w:hAnsi="Arial Black" w:cs="Arial"/>
          <w:b/>
          <w:color w:val="2F5496" w:themeColor="accent5" w:themeShade="BF"/>
          <w:sz w:val="21"/>
          <w:szCs w:val="21"/>
          <w:highlight w:val="green"/>
        </w:rPr>
        <w:t>Leistungen</w:t>
      </w:r>
      <w:r w:rsidRPr="00A6075E">
        <w:rPr>
          <w:rFonts w:ascii="Arial" w:hAnsi="Arial" w:cs="Arial"/>
          <w:b/>
          <w:color w:val="2F5496" w:themeColor="accent5" w:themeShade="BF"/>
          <w:sz w:val="21"/>
          <w:szCs w:val="21"/>
          <w:highlight w:val="green"/>
        </w:rPr>
        <w:t xml:space="preserve"> </w:t>
      </w:r>
      <w:r w:rsidRPr="00A6075E">
        <w:rPr>
          <w:rFonts w:ascii="Arial Black" w:hAnsi="Arial Black" w:cs="Arial"/>
          <w:b/>
          <w:color w:val="2F5496" w:themeColor="accent5" w:themeShade="BF"/>
          <w:sz w:val="21"/>
          <w:szCs w:val="21"/>
          <w:highlight w:val="green"/>
        </w:rPr>
        <w:t>mit</w:t>
      </w:r>
      <w:r w:rsidRPr="00A6075E">
        <w:rPr>
          <w:rFonts w:ascii="Arial" w:hAnsi="Arial" w:cs="Arial"/>
          <w:b/>
          <w:color w:val="2F5496" w:themeColor="accent5" w:themeShade="BF"/>
          <w:sz w:val="21"/>
          <w:szCs w:val="21"/>
          <w:highlight w:val="green"/>
        </w:rPr>
        <w:t xml:space="preserve"> </w:t>
      </w:r>
      <w:r w:rsidRPr="00A6075E">
        <w:rPr>
          <w:rFonts w:ascii="Arial Black" w:hAnsi="Arial Black" w:cs="Arial"/>
          <w:b/>
          <w:color w:val="2F5496" w:themeColor="accent5" w:themeShade="BF"/>
          <w:sz w:val="21"/>
          <w:szCs w:val="21"/>
          <w:highlight w:val="green"/>
        </w:rPr>
        <w:t>Kostenbeteiligungen</w:t>
      </w:r>
      <w:r w:rsidRPr="00F8633B">
        <w:rPr>
          <w:rFonts w:ascii="Arial" w:hAnsi="Arial" w:cs="Arial"/>
          <w:b/>
          <w:sz w:val="21"/>
          <w:szCs w:val="21"/>
          <w:highlight w:val="green"/>
        </w:rPr>
        <w:t>.</w:t>
      </w:r>
    </w:p>
    <w:p w:rsidR="00CA1508" w:rsidRPr="00A6075E" w:rsidRDefault="00CA1508" w:rsidP="00CA1508">
      <w:pPr>
        <w:pStyle w:val="Listenabsatz"/>
        <w:numPr>
          <w:ilvl w:val="0"/>
          <w:numId w:val="2"/>
        </w:numPr>
        <w:spacing w:line="240" w:lineRule="exact"/>
        <w:ind w:left="714" w:hanging="357"/>
        <w:contextualSpacing w:val="0"/>
        <w:outlineLvl w:val="0"/>
        <w:rPr>
          <w:rFonts w:ascii="Arial" w:hAnsi="Arial" w:cs="Arial"/>
          <w:sz w:val="21"/>
          <w:szCs w:val="21"/>
          <w:highlight w:val="green"/>
        </w:rPr>
      </w:pPr>
      <w:r w:rsidRPr="00A6075E">
        <w:rPr>
          <w:rFonts w:ascii="Arial Black" w:hAnsi="Arial Black" w:cs="Arial"/>
          <w:b/>
          <w:sz w:val="21"/>
          <w:szCs w:val="21"/>
          <w:highlight w:val="green"/>
        </w:rPr>
        <w:t>Kanton</w:t>
      </w:r>
      <w:r w:rsidRPr="00A6075E">
        <w:rPr>
          <w:rFonts w:ascii="Arial" w:hAnsi="Arial" w:cs="Arial"/>
          <w:sz w:val="21"/>
          <w:szCs w:val="21"/>
          <w:highlight w:val="green"/>
        </w:rPr>
        <w:t>:</w:t>
      </w:r>
      <w:r w:rsidRPr="00A6075E">
        <w:rPr>
          <w:rFonts w:ascii="Arial" w:hAnsi="Arial" w:cs="Arial"/>
          <w:sz w:val="21"/>
          <w:szCs w:val="21"/>
          <w:highlight w:val="green"/>
        </w:rPr>
        <w:br/>
        <w:t xml:space="preserve">Betreuungskosten, die über dem durch die Bewohnerinnen und Bewohner getragenen Anteil liegen, werden durch den </w:t>
      </w:r>
      <w:r w:rsidRPr="00A6075E">
        <w:rPr>
          <w:rFonts w:ascii="Arial Black" w:hAnsi="Arial Black" w:cs="Arial"/>
          <w:b/>
          <w:color w:val="2F5496" w:themeColor="accent5" w:themeShade="BF"/>
          <w:sz w:val="21"/>
          <w:szCs w:val="21"/>
          <w:highlight w:val="green"/>
        </w:rPr>
        <w:t>Kantonsbeitrag</w:t>
      </w:r>
      <w:r w:rsidRPr="00A6075E">
        <w:rPr>
          <w:rFonts w:ascii="Arial" w:hAnsi="Arial" w:cs="Arial"/>
          <w:b/>
          <w:color w:val="2F5496" w:themeColor="accent5" w:themeShade="BF"/>
          <w:sz w:val="21"/>
          <w:szCs w:val="21"/>
          <w:highlight w:val="green"/>
        </w:rPr>
        <w:t xml:space="preserve"> </w:t>
      </w:r>
      <w:r w:rsidRPr="00A6075E">
        <w:rPr>
          <w:rFonts w:ascii="Arial" w:hAnsi="Arial" w:cs="Arial"/>
          <w:sz w:val="21"/>
          <w:szCs w:val="21"/>
          <w:highlight w:val="green"/>
        </w:rPr>
        <w:t>gedeck</w:t>
      </w:r>
      <w:r>
        <w:rPr>
          <w:rFonts w:ascii="Arial" w:hAnsi="Arial" w:cs="Arial"/>
          <w:sz w:val="21"/>
          <w:szCs w:val="21"/>
          <w:highlight w:val="green"/>
        </w:rPr>
        <w:t>t.</w:t>
      </w:r>
    </w:p>
    <w:p w:rsidR="00CA1508" w:rsidRPr="001F25F0" w:rsidRDefault="00CA1508" w:rsidP="00CA1508">
      <w:pPr>
        <w:spacing w:after="60" w:line="240" w:lineRule="exact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Die Finanzierung der 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</w:rPr>
        <w:t xml:space="preserve">Taxen und Leistungen mit Kostenbeteiligungen </w:t>
      </w:r>
      <w:r w:rsidRPr="001F25F0">
        <w:rPr>
          <w:rFonts w:ascii="Arial" w:hAnsi="Arial" w:cs="Arial"/>
          <w:sz w:val="21"/>
          <w:szCs w:val="21"/>
        </w:rPr>
        <w:t>erfolgt über eigene Mittel der Bewohnerinnen und Bewohner (beispielsweise</w:t>
      </w:r>
      <w:r>
        <w:rPr>
          <w:rFonts w:ascii="Arial" w:hAnsi="Arial" w:cs="Arial"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>IV-Renten</w:t>
      </w:r>
      <w:r>
        <w:rPr>
          <w:rFonts w:ascii="Arial" w:hAnsi="Arial" w:cs="Arial"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 xml:space="preserve">oder </w:t>
      </w:r>
      <w:proofErr w:type="spellStart"/>
      <w:r w:rsidRPr="001F25F0">
        <w:rPr>
          <w:rFonts w:ascii="Arial" w:hAnsi="Arial" w:cs="Arial"/>
          <w:sz w:val="21"/>
          <w:szCs w:val="21"/>
        </w:rPr>
        <w:t>Hilflosenentschädigungen</w:t>
      </w:r>
      <w:proofErr w:type="spellEnd"/>
      <w:r w:rsidRPr="001F25F0">
        <w:rPr>
          <w:rFonts w:ascii="Arial" w:hAnsi="Arial" w:cs="Arial"/>
          <w:sz w:val="21"/>
          <w:szCs w:val="21"/>
        </w:rPr>
        <w:t>). Falls diese nicht ausreichen, muss der Anspruch auf Ergänzungsleistungen geprüft werden.</w:t>
      </w:r>
    </w:p>
    <w:p w:rsidR="00CA1508" w:rsidRPr="001F25F0" w:rsidRDefault="00CA1508" w:rsidP="00CA1508">
      <w:pPr>
        <w:spacing w:after="60" w:line="240" w:lineRule="exact"/>
        <w:rPr>
          <w:rFonts w:ascii="Arial" w:hAnsi="Arial" w:cs="Arial"/>
          <w:sz w:val="21"/>
          <w:szCs w:val="21"/>
          <w:vertAlign w:val="superscript"/>
        </w:rPr>
      </w:pPr>
      <w:r w:rsidRPr="00A6075E">
        <w:rPr>
          <w:rFonts w:ascii="Arial" w:hAnsi="Arial" w:cs="Arial"/>
          <w:sz w:val="21"/>
          <w:szCs w:val="21"/>
          <w:highlight w:val="green"/>
        </w:rPr>
        <w:t xml:space="preserve">Der </w:t>
      </w:r>
      <w:r w:rsidRPr="00A6075E">
        <w:rPr>
          <w:rFonts w:ascii="Arial" w:hAnsi="Arial" w:cs="Arial"/>
          <w:color w:val="2F5496" w:themeColor="accent5" w:themeShade="BF"/>
          <w:sz w:val="21"/>
          <w:szCs w:val="21"/>
          <w:highlight w:val="green"/>
        </w:rPr>
        <w:t xml:space="preserve">Kantonsbeitrag </w:t>
      </w:r>
      <w:r w:rsidRPr="00A6075E">
        <w:rPr>
          <w:rFonts w:ascii="Arial" w:hAnsi="Arial" w:cs="Arial"/>
          <w:sz w:val="21"/>
          <w:szCs w:val="21"/>
          <w:highlight w:val="green"/>
        </w:rPr>
        <w:t xml:space="preserve">wird in einer Leistungsvereinbarung zwischen </w:t>
      </w:r>
      <w:r w:rsidRPr="00FF5A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Name Institution </w:t>
      </w:r>
      <w:r w:rsidRPr="00A6075E">
        <w:rPr>
          <w:rFonts w:ascii="Arial" w:hAnsi="Arial" w:cs="Arial"/>
          <w:sz w:val="21"/>
          <w:szCs w:val="21"/>
          <w:highlight w:val="green"/>
        </w:rPr>
        <w:t>und dem Kantonalen Sozialamt festgelegt</w:t>
      </w:r>
      <w:r w:rsidRPr="001F25F0">
        <w:rPr>
          <w:rFonts w:ascii="Arial" w:hAnsi="Arial" w:cs="Arial"/>
          <w:sz w:val="21"/>
          <w:szCs w:val="21"/>
        </w:rPr>
        <w:t>.</w:t>
      </w:r>
      <w:r w:rsidRPr="001F25F0">
        <w:rPr>
          <w:rFonts w:ascii="Arial" w:hAnsi="Arial" w:cs="Arial"/>
          <w:sz w:val="21"/>
          <w:szCs w:val="21"/>
        </w:rPr>
        <w:br/>
      </w:r>
    </w:p>
    <w:p w:rsidR="00CA1508" w:rsidRPr="001F25F0" w:rsidRDefault="00CA1508" w:rsidP="00CA1508">
      <w:pPr>
        <w:spacing w:line="240" w:lineRule="exact"/>
        <w:rPr>
          <w:rFonts w:ascii="Arial Black" w:hAnsi="Arial Black" w:cs="Arial"/>
          <w:b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Taxen</w:t>
      </w:r>
    </w:p>
    <w:p w:rsidR="00CA1508" w:rsidRPr="001F25F0" w:rsidRDefault="00CA1508" w:rsidP="00CA1508">
      <w:pPr>
        <w:tabs>
          <w:tab w:val="left" w:pos="993"/>
          <w:tab w:val="left" w:pos="1559"/>
          <w:tab w:val="left" w:pos="3828"/>
        </w:tabs>
        <w:rPr>
          <w:rFonts w:ascii="Arial" w:hAnsi="Arial" w:cs="Arial"/>
          <w:sz w:val="21"/>
          <w:szCs w:val="21"/>
        </w:rPr>
      </w:pPr>
      <w:r w:rsidRPr="00F8633B">
        <w:rPr>
          <w:rFonts w:ascii="Arial" w:hAnsi="Arial"/>
          <w:sz w:val="21"/>
          <w:highlight w:val="yellow"/>
        </w:rPr>
        <w:t>Rating</w:t>
      </w:r>
      <w:r w:rsidRPr="00F8633B">
        <w:rPr>
          <w:rStyle w:val="Funotenzeichen"/>
          <w:rFonts w:ascii="Arial" w:hAnsi="Arial"/>
          <w:sz w:val="21"/>
          <w:highlight w:val="yellow"/>
        </w:rPr>
        <w:footnoteReference w:id="4"/>
      </w:r>
      <w:r w:rsidRPr="001F25F0">
        <w:rPr>
          <w:rFonts w:ascii="Arial" w:hAnsi="Arial" w:cs="Arial"/>
          <w:sz w:val="21"/>
          <w:szCs w:val="21"/>
        </w:rPr>
        <w:tab/>
      </w:r>
      <w:r w:rsidRPr="001F25F0">
        <w:rPr>
          <w:rFonts w:ascii="Arial" w:hAnsi="Arial" w:cs="Arial"/>
          <w:sz w:val="21"/>
          <w:szCs w:val="21"/>
        </w:rPr>
        <w:tab/>
        <w:t>Tagespauschale</w:t>
      </w:r>
      <w:r w:rsidRPr="001F25F0">
        <w:rPr>
          <w:rStyle w:val="Funotenzeichen"/>
          <w:rFonts w:ascii="Arial" w:hAnsi="Arial" w:cs="Arial"/>
          <w:sz w:val="21"/>
          <w:szCs w:val="21"/>
        </w:rPr>
        <w:footnoteReference w:id="5"/>
      </w:r>
      <w:r w:rsidRPr="001F25F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1F25F0">
        <w:rPr>
          <w:rFonts w:ascii="Arial" w:hAnsi="Arial" w:cs="Arial"/>
          <w:sz w:val="21"/>
          <w:szCs w:val="21"/>
        </w:rPr>
        <w:t>Monatspauschale</w:t>
      </w:r>
      <w:r w:rsidRPr="001F25F0">
        <w:rPr>
          <w:rStyle w:val="Funotenzeichen"/>
          <w:rFonts w:ascii="Arial" w:hAnsi="Arial" w:cs="Arial"/>
          <w:sz w:val="21"/>
          <w:szCs w:val="21"/>
        </w:rPr>
        <w:footnoteReference w:id="6"/>
      </w:r>
    </w:p>
    <w:p w:rsidR="00CA1508" w:rsidRPr="00F8633B" w:rsidRDefault="00CA1508" w:rsidP="00CA1508">
      <w:pPr>
        <w:tabs>
          <w:tab w:val="left" w:pos="993"/>
          <w:tab w:val="left" w:pos="1559"/>
        </w:tabs>
        <w:rPr>
          <w:rFonts w:ascii="Arial" w:hAnsi="Arial"/>
          <w:color w:val="2F5496" w:themeColor="accent5" w:themeShade="BF"/>
          <w:sz w:val="21"/>
        </w:rPr>
      </w:pPr>
      <w:r w:rsidRPr="00F8633B">
        <w:rPr>
          <w:rFonts w:ascii="Arial" w:hAnsi="Arial"/>
          <w:sz w:val="21"/>
          <w:highlight w:val="yellow"/>
        </w:rPr>
        <w:t>IBB 0</w:t>
      </w:r>
      <w:r w:rsidRPr="00F8633B">
        <w:rPr>
          <w:rStyle w:val="Funotenzeichen"/>
          <w:rFonts w:ascii="Arial" w:hAnsi="Arial"/>
          <w:sz w:val="21"/>
          <w:highlight w:val="yellow"/>
        </w:rPr>
        <w:footnoteReference w:id="7"/>
      </w:r>
      <w:r w:rsidRPr="00731DC9">
        <w:rPr>
          <w:rFonts w:ascii="Arial" w:hAnsi="Arial" w:cs="Arial"/>
          <w:sz w:val="21"/>
          <w:szCs w:val="21"/>
        </w:rPr>
        <w:t xml:space="preserve"> </w:t>
      </w:r>
      <w:r w:rsidRPr="00731DC9">
        <w:rPr>
          <w:rFonts w:ascii="Arial" w:hAnsi="Arial" w:cs="Arial"/>
          <w:sz w:val="21"/>
          <w:szCs w:val="21"/>
        </w:rPr>
        <w:tab/>
      </w:r>
      <w:r w:rsidRPr="00731DC9">
        <w:rPr>
          <w:rFonts w:ascii="Arial" w:hAnsi="Arial" w:cs="Arial"/>
          <w:sz w:val="21"/>
          <w:szCs w:val="21"/>
        </w:rPr>
        <w:tab/>
        <w:t xml:space="preserve">Fr. </w:t>
      </w:r>
      <w:r w:rsidRPr="00731DC9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YYY</w:t>
      </w:r>
      <w:r w:rsidRPr="00F8633B">
        <w:rPr>
          <w:rFonts w:ascii="Arial" w:hAnsi="Arial"/>
          <w:sz w:val="21"/>
        </w:rPr>
        <w:tab/>
      </w:r>
      <w:r w:rsidRPr="00731DC9">
        <w:rPr>
          <w:rFonts w:ascii="Arial" w:hAnsi="Arial" w:cs="Arial"/>
          <w:sz w:val="21"/>
          <w:szCs w:val="21"/>
        </w:rPr>
        <w:tab/>
      </w:r>
      <w:r w:rsidRPr="00731DC9">
        <w:rPr>
          <w:rFonts w:ascii="Arial" w:hAnsi="Arial" w:cs="Arial"/>
          <w:sz w:val="21"/>
          <w:szCs w:val="21"/>
        </w:rPr>
        <w:tab/>
        <w:t xml:space="preserve">Fr. </w:t>
      </w:r>
      <w:r w:rsidRPr="00731DC9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Y’YYY</w:t>
      </w:r>
      <w:r w:rsidRPr="00731DC9">
        <w:rPr>
          <w:rFonts w:ascii="Arial" w:hAnsi="Arial" w:cs="Arial"/>
          <w:sz w:val="21"/>
          <w:szCs w:val="21"/>
        </w:rPr>
        <w:br/>
      </w:r>
      <w:r w:rsidRPr="00F8633B">
        <w:rPr>
          <w:rFonts w:ascii="Arial" w:hAnsi="Arial"/>
          <w:sz w:val="21"/>
          <w:highlight w:val="yellow"/>
        </w:rPr>
        <w:t>IBB 1 - 4</w:t>
      </w:r>
      <w:r w:rsidRPr="001F25F0">
        <w:rPr>
          <w:rFonts w:ascii="Arial" w:hAnsi="Arial" w:cs="Arial"/>
          <w:sz w:val="21"/>
          <w:szCs w:val="21"/>
        </w:rPr>
        <w:tab/>
      </w:r>
      <w:r w:rsidRPr="001F25F0">
        <w:rPr>
          <w:rFonts w:ascii="Arial" w:hAnsi="Arial" w:cs="Arial"/>
          <w:sz w:val="21"/>
          <w:szCs w:val="21"/>
        </w:rPr>
        <w:tab/>
        <w:t xml:space="preserve">Fr. </w:t>
      </w:r>
      <w:r w:rsidRPr="00731DC9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YYY</w:t>
      </w:r>
      <w:r w:rsidRPr="00F8633B">
        <w:rPr>
          <w:rFonts w:ascii="Arial" w:hAnsi="Arial"/>
          <w:sz w:val="21"/>
        </w:rPr>
        <w:tab/>
      </w:r>
      <w:r w:rsidRPr="00731DC9">
        <w:rPr>
          <w:rFonts w:ascii="Arial" w:hAnsi="Arial" w:cs="Arial"/>
          <w:sz w:val="21"/>
          <w:szCs w:val="21"/>
        </w:rPr>
        <w:tab/>
      </w:r>
      <w:r w:rsidRPr="00731DC9">
        <w:rPr>
          <w:rFonts w:ascii="Arial" w:hAnsi="Arial" w:cs="Arial"/>
          <w:sz w:val="21"/>
          <w:szCs w:val="21"/>
        </w:rPr>
        <w:tab/>
        <w:t xml:space="preserve">Fr. </w:t>
      </w:r>
      <w:r w:rsidRPr="00731DC9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Y’YYY</w:t>
      </w:r>
      <w:r w:rsidRPr="00731DC9">
        <w:rPr>
          <w:rFonts w:ascii="Arial" w:hAnsi="Arial" w:cs="Arial"/>
          <w:sz w:val="21"/>
          <w:szCs w:val="21"/>
        </w:rPr>
        <w:br/>
      </w:r>
      <w:r w:rsidRPr="001F25F0">
        <w:rPr>
          <w:rFonts w:ascii="Arial" w:hAnsi="Arial" w:cs="Arial"/>
          <w:sz w:val="21"/>
          <w:szCs w:val="21"/>
        </w:rPr>
        <w:br/>
      </w:r>
      <w:r w:rsidRPr="001F25F0">
        <w:rPr>
          <w:rFonts w:ascii="Arial" w:hAnsi="Arial" w:cs="Arial"/>
          <w:sz w:val="21"/>
          <w:szCs w:val="21"/>
        </w:rPr>
        <w:br/>
      </w:r>
      <w:r w:rsidRPr="00731DC9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Bei Ferien- und Timeoutplätzen erhöht sich der Tagessatz um Fr. 15</w:t>
      </w:r>
      <w:r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.</w:t>
      </w:r>
    </w:p>
    <w:p w:rsidR="00CA1508" w:rsidRPr="001F25F0" w:rsidRDefault="00CA1508" w:rsidP="00CA1508">
      <w:pPr>
        <w:spacing w:after="60" w:line="240" w:lineRule="exact"/>
        <w:rPr>
          <w:rFonts w:ascii="Arial" w:hAnsi="Arial" w:cs="Arial"/>
          <w:sz w:val="21"/>
          <w:szCs w:val="21"/>
        </w:rPr>
      </w:pPr>
      <w:r w:rsidRPr="00F8633B">
        <w:rPr>
          <w:rFonts w:ascii="Arial" w:hAnsi="Arial"/>
          <w:sz w:val="21"/>
          <w:highlight w:val="yellow"/>
        </w:rPr>
        <w:lastRenderedPageBreak/>
        <w:t xml:space="preserve">Voraussetzung zur Bestimmung der </w:t>
      </w:r>
      <w:proofErr w:type="spellStart"/>
      <w:r w:rsidRPr="00F8633B">
        <w:rPr>
          <w:rFonts w:ascii="Arial" w:hAnsi="Arial"/>
          <w:sz w:val="21"/>
          <w:highlight w:val="yellow"/>
        </w:rPr>
        <w:t>Taxhöhe</w:t>
      </w:r>
      <w:proofErr w:type="spellEnd"/>
      <w:r w:rsidRPr="00F8633B">
        <w:rPr>
          <w:rFonts w:ascii="Arial" w:hAnsi="Arial"/>
          <w:sz w:val="21"/>
          <w:highlight w:val="yellow"/>
        </w:rPr>
        <w:t xml:space="preserve"> ist die Kenntnis der IBB-Stufe. Vor dem definitiven Eintrittsentscheid erhält die interessierte Person eine Offerte, auf der die durch uns geschätzte IBB-Stufe aufgeführt ist. Die definitive Festlegung der IBB-Stufe kann bis zu drei Monate beanspruchen. Spätere Anpassungen der Taxen aufgrund einer Änderung der IBB-Stufe werden den Bewohnerinnen und Bewohnern mit einer Vorlaufzeit von drei Monaten angekündigt.</w:t>
      </w:r>
      <w:r w:rsidRPr="001F25F0">
        <w:rPr>
          <w:rFonts w:ascii="Arial" w:hAnsi="Arial" w:cs="Arial"/>
          <w:sz w:val="21"/>
          <w:szCs w:val="21"/>
        </w:rPr>
        <w:br/>
      </w:r>
    </w:p>
    <w:p w:rsidR="00CA1508" w:rsidRPr="001F25F0" w:rsidRDefault="00CA1508" w:rsidP="00CA1508">
      <w:pPr>
        <w:spacing w:line="240" w:lineRule="exact"/>
        <w:rPr>
          <w:rFonts w:ascii="Arial Black" w:hAnsi="Arial Black" w:cs="Arial"/>
          <w:b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Rückerstattung bei Abwesenheiten</w:t>
      </w:r>
    </w:p>
    <w:p w:rsidR="00CA1508" w:rsidRPr="001F25F0" w:rsidRDefault="00CA1508" w:rsidP="00CA1508">
      <w:pPr>
        <w:pStyle w:val="Default"/>
        <w:spacing w:after="120" w:line="240" w:lineRule="exact"/>
        <w:ind w:right="323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>Pro Abwesenheitstag erhalten Bewohnerinnen und Bewohner einen Teil der Taxe zurückerstattet. Der Abwesenheitstag ist folgendermassen definiert: Abwesenheit in der Nacht verbunden mit der Abwesenheit an zwei zeitlich da</w:t>
      </w:r>
      <w:r>
        <w:rPr>
          <w:rFonts w:ascii="Arial" w:hAnsi="Arial" w:cs="Arial"/>
          <w:sz w:val="21"/>
          <w:szCs w:val="21"/>
        </w:rPr>
        <w:t>ran gebundenen Hauptmahlzeiten.</w:t>
      </w:r>
    </w:p>
    <w:p w:rsidR="00CA1508" w:rsidRPr="001F25F0" w:rsidRDefault="00CA1508" w:rsidP="00CA1508">
      <w:pPr>
        <w:pStyle w:val="Default"/>
        <w:spacing w:after="60" w:line="240" w:lineRule="exact"/>
        <w:ind w:right="32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Mögliche</w:t>
      </w:r>
      <w:r w:rsidRPr="001F25F0">
        <w:rPr>
          <w:rFonts w:ascii="Arial" w:hAnsi="Arial" w:cs="Arial"/>
          <w:sz w:val="21"/>
          <w:szCs w:val="21"/>
        </w:rPr>
        <w:t xml:space="preserve"> Varianten: </w:t>
      </w:r>
    </w:p>
    <w:p w:rsidR="00CA1508" w:rsidRPr="001F25F0" w:rsidRDefault="00CA1508" w:rsidP="00CA1508">
      <w:pPr>
        <w:pStyle w:val="Default"/>
        <w:spacing w:line="240" w:lineRule="exact"/>
        <w:ind w:left="258" w:right="321" w:firstLine="450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- Mittagessen, Abendessen, Nacht </w:t>
      </w:r>
    </w:p>
    <w:p w:rsidR="00CA1508" w:rsidRPr="001F25F0" w:rsidRDefault="00CA1508" w:rsidP="00CA1508">
      <w:pPr>
        <w:pStyle w:val="Default"/>
        <w:spacing w:line="240" w:lineRule="exact"/>
        <w:ind w:left="258" w:right="321" w:firstLine="450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- Abendessen, Nacht, Mittagessen </w:t>
      </w:r>
    </w:p>
    <w:p w:rsidR="00CA1508" w:rsidRDefault="00CA1508" w:rsidP="00CA1508">
      <w:pPr>
        <w:spacing w:after="60" w:line="240" w:lineRule="exact"/>
        <w:ind w:firstLine="709"/>
        <w:rPr>
          <w:rFonts w:ascii="Arial" w:hAnsi="Arial" w:cs="Arial"/>
          <w:color w:val="000000"/>
          <w:sz w:val="21"/>
          <w:szCs w:val="21"/>
        </w:rPr>
      </w:pPr>
      <w:r w:rsidRPr="001F25F0">
        <w:rPr>
          <w:rFonts w:ascii="Arial" w:hAnsi="Arial" w:cs="Arial"/>
          <w:color w:val="000000"/>
          <w:sz w:val="21"/>
          <w:szCs w:val="21"/>
        </w:rPr>
        <w:t>- Nacht, Mittagessen, Abendessen</w:t>
      </w:r>
    </w:p>
    <w:p w:rsidR="00CA1508" w:rsidRDefault="00CA1508" w:rsidP="00CA1508">
      <w:pPr>
        <w:spacing w:after="60" w:line="240" w:lineRule="exact"/>
        <w:rPr>
          <w:rFonts w:ascii="Arial" w:hAnsi="Arial" w:cs="Arial"/>
          <w:color w:val="2F5496" w:themeColor="accent5" w:themeShade="BF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Ankündigungsfrist: 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keine bis maximal fünf Tage</w:t>
      </w:r>
    </w:p>
    <w:p w:rsidR="00CA1508" w:rsidRPr="001F25F0" w:rsidRDefault="00CA1508" w:rsidP="00CA1508">
      <w:pPr>
        <w:spacing w:after="60" w:line="240" w:lineRule="exact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>Betrag der Rückerstattung pro Abwesenheitstag: Fr. 2</w:t>
      </w:r>
      <w:r>
        <w:rPr>
          <w:rFonts w:ascii="Arial" w:hAnsi="Arial" w:cs="Arial"/>
          <w:sz w:val="21"/>
          <w:szCs w:val="21"/>
        </w:rPr>
        <w:t>1</w:t>
      </w:r>
      <w:r w:rsidRPr="001F25F0">
        <w:rPr>
          <w:rFonts w:ascii="Arial" w:hAnsi="Arial" w:cs="Arial"/>
          <w:sz w:val="21"/>
          <w:szCs w:val="21"/>
        </w:rPr>
        <w:t xml:space="preserve"> plus </w:t>
      </w:r>
      <w:r>
        <w:rPr>
          <w:rFonts w:ascii="Arial" w:hAnsi="Arial" w:cs="Arial"/>
          <w:sz w:val="21"/>
          <w:szCs w:val="21"/>
        </w:rPr>
        <w:t xml:space="preserve">allfällige </w:t>
      </w:r>
      <w:proofErr w:type="spellStart"/>
      <w:r w:rsidRPr="001F25F0">
        <w:rPr>
          <w:rFonts w:ascii="Arial" w:hAnsi="Arial" w:cs="Arial"/>
          <w:sz w:val="21"/>
          <w:szCs w:val="21"/>
        </w:rPr>
        <w:t>Hilflosenentschädigung</w:t>
      </w:r>
      <w:proofErr w:type="spellEnd"/>
      <w:r w:rsidRPr="001F25F0">
        <w:rPr>
          <w:rFonts w:ascii="Arial" w:hAnsi="Arial" w:cs="Arial"/>
          <w:color w:val="000000"/>
          <w:sz w:val="21"/>
          <w:szCs w:val="21"/>
        </w:rPr>
        <w:br/>
      </w:r>
    </w:p>
    <w:p w:rsidR="00CA1508" w:rsidRPr="001F25F0" w:rsidRDefault="00CA1508" w:rsidP="00CA1508">
      <w:pPr>
        <w:spacing w:line="240" w:lineRule="exact"/>
        <w:rPr>
          <w:rFonts w:ascii="Arial Black" w:hAnsi="Arial Black" w:cs="Arial"/>
          <w:b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Grundleistungen</w:t>
      </w:r>
    </w:p>
    <w:p w:rsidR="00CA1508" w:rsidRPr="00FD45D6" w:rsidRDefault="00CA1508" w:rsidP="00CA1508">
      <w:pPr>
        <w:spacing w:after="120" w:line="240" w:lineRule="exact"/>
        <w:jc w:val="both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Grundleistungen sind Leistungen, die mit Taxen abgegolten </w:t>
      </w:r>
      <w:r>
        <w:rPr>
          <w:rFonts w:ascii="Arial" w:hAnsi="Arial" w:cs="Arial"/>
          <w:sz w:val="21"/>
          <w:szCs w:val="21"/>
        </w:rPr>
        <w:t>werden</w:t>
      </w:r>
      <w:r w:rsidRPr="001F25F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Die </w:t>
      </w:r>
      <w:r w:rsidRPr="00DC2C6A">
        <w:rPr>
          <w:rFonts w:ascii="Arial" w:hAnsi="Arial" w:cs="Arial"/>
          <w:sz w:val="21"/>
          <w:szCs w:val="21"/>
        </w:rPr>
        <w:t>Leistungen (insbesondere Unterkunft, Verpflegung, Betreuung sowie Pflege)</w:t>
      </w:r>
      <w:r>
        <w:rPr>
          <w:rFonts w:ascii="Arial" w:hAnsi="Arial" w:cs="Arial"/>
          <w:sz w:val="21"/>
          <w:szCs w:val="21"/>
        </w:rPr>
        <w:t xml:space="preserve"> sind</w:t>
      </w:r>
      <w:r w:rsidRPr="00DC2C6A">
        <w:rPr>
          <w:rFonts w:ascii="Arial" w:hAnsi="Arial" w:cs="Arial"/>
          <w:sz w:val="21"/>
          <w:szCs w:val="21"/>
        </w:rPr>
        <w:t xml:space="preserve"> </w:t>
      </w:r>
      <w:r w:rsidRPr="00FD45D6">
        <w:rPr>
          <w:rFonts w:ascii="Arial" w:hAnsi="Arial" w:cs="Arial"/>
          <w:b/>
          <w:bCs/>
          <w:sz w:val="21"/>
          <w:szCs w:val="21"/>
        </w:rPr>
        <w:t>an</w:t>
      </w:r>
      <w:r w:rsidRPr="00DC2C6A">
        <w:rPr>
          <w:rFonts w:ascii="Arial Black" w:hAnsi="Arial Black" w:cs="Arial"/>
          <w:b/>
          <w:bCs/>
          <w:sz w:val="21"/>
          <w:szCs w:val="21"/>
        </w:rPr>
        <w:t xml:space="preserve"> 365 (366) Tagen pro Jahr</w:t>
      </w:r>
      <w:r>
        <w:rPr>
          <w:rFonts w:ascii="Arial Black" w:hAnsi="Arial Black" w:cs="Arial"/>
          <w:b/>
          <w:bCs/>
          <w:sz w:val="21"/>
          <w:szCs w:val="21"/>
        </w:rPr>
        <w:t xml:space="preserve"> </w:t>
      </w:r>
      <w:r w:rsidRPr="00FD45D6">
        <w:rPr>
          <w:rFonts w:ascii="Arial" w:hAnsi="Arial" w:cs="Arial"/>
          <w:bCs/>
          <w:sz w:val="21"/>
          <w:szCs w:val="21"/>
        </w:rPr>
        <w:t>gewährleistet.</w:t>
      </w:r>
    </w:p>
    <w:p w:rsidR="00CA1508" w:rsidRPr="006A6F5E" w:rsidRDefault="00CA1508" w:rsidP="00CA1508">
      <w:pPr>
        <w:spacing w:before="240" w:after="120" w:line="240" w:lineRule="exact"/>
        <w:ind w:firstLine="357"/>
        <w:rPr>
          <w:rFonts w:ascii="Arial" w:hAnsi="Arial" w:cs="Arial"/>
          <w:sz w:val="21"/>
          <w:szCs w:val="21"/>
        </w:rPr>
      </w:pPr>
      <w:r w:rsidRPr="006A6F5E">
        <w:rPr>
          <w:rFonts w:ascii="Arial" w:hAnsi="Arial" w:cs="Arial"/>
          <w:sz w:val="21"/>
          <w:szCs w:val="21"/>
        </w:rPr>
        <w:t>Unterkunft, Verpflegung Möblierung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bCs/>
          <w:sz w:val="21"/>
          <w:szCs w:val="21"/>
        </w:rPr>
        <w:t>Unterkunft</w:t>
      </w:r>
      <w:r w:rsidRPr="001F25F0">
        <w:rPr>
          <w:rFonts w:ascii="Arial" w:hAnsi="Arial" w:cs="Arial"/>
          <w:sz w:val="21"/>
          <w:szCs w:val="21"/>
        </w:rPr>
        <w:t xml:space="preserve"> (inkl. Nebenkosten</w:t>
      </w:r>
      <w:r>
        <w:rPr>
          <w:rFonts w:ascii="Arial" w:hAnsi="Arial" w:cs="Arial"/>
          <w:sz w:val="21"/>
          <w:szCs w:val="21"/>
        </w:rPr>
        <w:t xml:space="preserve"> exkl. TV/Internet/Telefon</w:t>
      </w:r>
      <w:r w:rsidRPr="001F25F0">
        <w:rPr>
          <w:rFonts w:ascii="Arial" w:hAnsi="Arial" w:cs="Arial"/>
          <w:sz w:val="21"/>
          <w:szCs w:val="21"/>
        </w:rPr>
        <w:t xml:space="preserve">) und </w:t>
      </w:r>
      <w:r w:rsidRPr="001F25F0">
        <w:rPr>
          <w:rFonts w:ascii="Arial Black" w:hAnsi="Arial Black" w:cs="Arial"/>
          <w:b/>
          <w:bCs/>
          <w:sz w:val="21"/>
          <w:szCs w:val="21"/>
        </w:rPr>
        <w:t>Verpflegung</w:t>
      </w:r>
      <w:r w:rsidRPr="001F25F0">
        <w:rPr>
          <w:rFonts w:ascii="Arial" w:hAnsi="Arial" w:cs="Arial"/>
          <w:sz w:val="21"/>
          <w:szCs w:val="21"/>
        </w:rPr>
        <w:t xml:space="preserve"> (inkl. Spezialessen sowie Diäten - sofern nicht KVG-pflichtig)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bCs/>
          <w:sz w:val="21"/>
          <w:szCs w:val="21"/>
        </w:rPr>
        <w:t>Möblierung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des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Zimmers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bCs/>
          <w:sz w:val="21"/>
          <w:szCs w:val="21"/>
        </w:rPr>
        <w:t>oder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>Unterstützung</w:t>
      </w:r>
      <w:r>
        <w:rPr>
          <w:rFonts w:ascii="Arial" w:hAnsi="Arial" w:cs="Arial"/>
          <w:sz w:val="21"/>
          <w:szCs w:val="21"/>
        </w:rPr>
        <w:t xml:space="preserve"> bei</w:t>
      </w:r>
      <w:r w:rsidRPr="001F25F0">
        <w:rPr>
          <w:rFonts w:ascii="Arial" w:hAnsi="Arial" w:cs="Arial"/>
          <w:sz w:val="21"/>
          <w:szCs w:val="21"/>
        </w:rPr>
        <w:t xml:space="preserve"> der Einrichtung des Zimmers mit eigenen Möbeln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Mitbenutzung der </w:t>
      </w:r>
      <w:r w:rsidRPr="001F25F0">
        <w:rPr>
          <w:rFonts w:ascii="Arial Black" w:hAnsi="Arial Black" w:cs="Arial"/>
          <w:b/>
          <w:bCs/>
          <w:sz w:val="21"/>
          <w:szCs w:val="21"/>
        </w:rPr>
        <w:t>Sanitär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- </w:t>
      </w:r>
      <w:r w:rsidRPr="001F25F0">
        <w:rPr>
          <w:rFonts w:ascii="Arial Black" w:hAnsi="Arial Black" w:cs="Arial"/>
          <w:b/>
          <w:bCs/>
          <w:sz w:val="21"/>
          <w:szCs w:val="21"/>
        </w:rPr>
        <w:t>und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Gemeinschaftsräume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>sowie des Mobiliars</w:t>
      </w:r>
    </w:p>
    <w:p w:rsidR="00CA1508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bCs/>
          <w:sz w:val="21"/>
          <w:szCs w:val="21"/>
        </w:rPr>
        <w:t xml:space="preserve">Reinigung </w:t>
      </w:r>
      <w:r>
        <w:rPr>
          <w:rFonts w:ascii="Arial Black" w:hAnsi="Arial Black" w:cs="Arial"/>
          <w:b/>
          <w:bCs/>
          <w:sz w:val="21"/>
          <w:szCs w:val="21"/>
        </w:rPr>
        <w:t>von G</w:t>
      </w:r>
      <w:r w:rsidRPr="001F25F0">
        <w:rPr>
          <w:rFonts w:ascii="Arial Black" w:hAnsi="Arial Black" w:cs="Arial"/>
          <w:b/>
          <w:bCs/>
          <w:sz w:val="21"/>
          <w:szCs w:val="21"/>
        </w:rPr>
        <w:t>emeinschaft</w:t>
      </w:r>
      <w:r>
        <w:rPr>
          <w:rFonts w:ascii="Arial Black" w:hAnsi="Arial Black" w:cs="Arial"/>
          <w:b/>
          <w:bCs/>
          <w:sz w:val="21"/>
          <w:szCs w:val="21"/>
        </w:rPr>
        <w:t>sr</w:t>
      </w:r>
      <w:r w:rsidRPr="001F25F0">
        <w:rPr>
          <w:rFonts w:ascii="Arial Black" w:hAnsi="Arial Black" w:cs="Arial"/>
          <w:b/>
          <w:bCs/>
          <w:sz w:val="21"/>
          <w:szCs w:val="21"/>
        </w:rPr>
        <w:t>äume</w:t>
      </w:r>
      <w:r>
        <w:rPr>
          <w:rFonts w:ascii="Arial Black" w:hAnsi="Arial Black" w:cs="Arial"/>
          <w:b/>
          <w:bCs/>
          <w:sz w:val="21"/>
          <w:szCs w:val="21"/>
        </w:rPr>
        <w:t>n</w:t>
      </w:r>
      <w:r w:rsidRPr="001F25F0">
        <w:rPr>
          <w:rFonts w:ascii="Arial Black" w:hAnsi="Arial Black" w:cs="Arial"/>
          <w:b/>
          <w:bCs/>
          <w:sz w:val="21"/>
          <w:szCs w:val="21"/>
        </w:rPr>
        <w:t xml:space="preserve"> sowie Zimmerreinigung</w:t>
      </w:r>
      <w:r w:rsidRPr="001F25F0">
        <w:rPr>
          <w:rFonts w:ascii="Arial" w:hAnsi="Arial" w:cs="Arial"/>
          <w:sz w:val="21"/>
          <w:szCs w:val="21"/>
        </w:rPr>
        <w:t xml:space="preserve"> oder Unterstützung der Bewohnerinnen</w:t>
      </w:r>
      <w:r>
        <w:rPr>
          <w:rFonts w:ascii="Arial" w:hAnsi="Arial" w:cs="Arial"/>
          <w:sz w:val="21"/>
          <w:szCs w:val="21"/>
        </w:rPr>
        <w:t xml:space="preserve"> und Bewohner</w:t>
      </w:r>
      <w:r w:rsidRPr="001F25F0">
        <w:rPr>
          <w:rFonts w:ascii="Arial" w:hAnsi="Arial" w:cs="Arial"/>
          <w:sz w:val="21"/>
          <w:szCs w:val="21"/>
        </w:rPr>
        <w:t xml:space="preserve"> (gemäss Betriebs- und Betreuungskonzept)</w:t>
      </w:r>
    </w:p>
    <w:p w:rsidR="00CA1508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Cs/>
          <w:sz w:val="21"/>
          <w:szCs w:val="21"/>
        </w:rPr>
        <w:t>Kleiderreinigung</w:t>
      </w:r>
      <w:r w:rsidRPr="001F25F0">
        <w:rPr>
          <w:rFonts w:ascii="Arial" w:hAnsi="Arial" w:cs="Arial"/>
          <w:sz w:val="21"/>
          <w:szCs w:val="21"/>
        </w:rPr>
        <w:t xml:space="preserve"> (ohne chemische Reinigung) oder Möglichkeit zur (unterstützten) selbständigen Reinigung der persönlichen Wäsche (Umsetzung gemäss Betriebs- und Betreuungskonzept)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bCs/>
          <w:sz w:val="21"/>
          <w:szCs w:val="21"/>
        </w:rPr>
        <w:t>Bettwäsche und Frotteewäsche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>(falls nicht von der Bewohnerin oder dem Bewohner selbst gestellt)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Materialien des täglichen Bedarfs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 xml:space="preserve">(beispielsweise Taschentücher, </w:t>
      </w:r>
      <w:r>
        <w:rPr>
          <w:rFonts w:ascii="Arial" w:hAnsi="Arial" w:cs="Arial"/>
          <w:sz w:val="21"/>
          <w:szCs w:val="21"/>
        </w:rPr>
        <w:t>Duschmittel</w:t>
      </w:r>
      <w:r w:rsidRPr="001F25F0">
        <w:rPr>
          <w:rFonts w:ascii="Arial" w:hAnsi="Arial" w:cs="Arial"/>
          <w:sz w:val="21"/>
          <w:szCs w:val="21"/>
        </w:rPr>
        <w:t xml:space="preserve"> oder Pflaster)</w:t>
      </w:r>
    </w:p>
    <w:p w:rsidR="00CA1508" w:rsidRPr="00FD45D6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 xml:space="preserve">Übliche </w:t>
      </w:r>
      <w:r w:rsidRPr="001F25F0">
        <w:rPr>
          <w:rFonts w:ascii="Arial Black" w:hAnsi="Arial Black" w:cs="Arial"/>
          <w:b/>
          <w:bCs/>
          <w:sz w:val="21"/>
          <w:szCs w:val="21"/>
        </w:rPr>
        <w:t>Aufwendungen</w:t>
      </w:r>
      <w:r w:rsidRPr="001F25F0">
        <w:rPr>
          <w:rFonts w:ascii="Arial" w:hAnsi="Arial" w:cs="Arial"/>
          <w:sz w:val="21"/>
          <w:szCs w:val="21"/>
        </w:rPr>
        <w:t xml:space="preserve"> zur Durchführung und Administration von </w:t>
      </w:r>
      <w:r w:rsidRPr="001F25F0">
        <w:rPr>
          <w:rFonts w:ascii="Arial Black" w:hAnsi="Arial Black" w:cs="Arial"/>
          <w:b/>
          <w:bCs/>
          <w:sz w:val="21"/>
          <w:szCs w:val="21"/>
        </w:rPr>
        <w:t>Ein- und Austritten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CA1508" w:rsidRPr="006A6F5E" w:rsidRDefault="00CA1508" w:rsidP="00CA1508">
      <w:pPr>
        <w:spacing w:before="240" w:after="120" w:line="240" w:lineRule="exact"/>
        <w:ind w:firstLine="357"/>
        <w:rPr>
          <w:rFonts w:ascii="Arial" w:hAnsi="Arial" w:cs="Arial"/>
          <w:sz w:val="21"/>
          <w:szCs w:val="21"/>
        </w:rPr>
      </w:pPr>
      <w:r w:rsidRPr="006A6F5E">
        <w:rPr>
          <w:rFonts w:ascii="Arial" w:hAnsi="Arial" w:cs="Arial"/>
          <w:sz w:val="21"/>
          <w:szCs w:val="21"/>
        </w:rPr>
        <w:t>Begleitung, Betreuung und Pflege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>
        <w:rPr>
          <w:rFonts w:ascii="Arial Black" w:hAnsi="Arial Black" w:cs="Arial"/>
          <w:b/>
          <w:bCs/>
          <w:sz w:val="21"/>
          <w:szCs w:val="21"/>
        </w:rPr>
        <w:t xml:space="preserve">Begleitung, </w:t>
      </w:r>
      <w:r w:rsidRPr="001F25F0">
        <w:rPr>
          <w:rFonts w:ascii="Arial Black" w:hAnsi="Arial Black" w:cs="Arial"/>
          <w:b/>
          <w:bCs/>
          <w:sz w:val="21"/>
          <w:szCs w:val="21"/>
        </w:rPr>
        <w:t>Betreuung und Unterstützung</w:t>
      </w:r>
      <w:r w:rsidRPr="001F25F0">
        <w:rPr>
          <w:rFonts w:ascii="Arial" w:hAnsi="Arial" w:cs="Arial"/>
          <w:sz w:val="21"/>
          <w:szCs w:val="21"/>
        </w:rPr>
        <w:t xml:space="preserve"> gemäss Betriebs- und Betreuungskonzept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bCs/>
          <w:sz w:val="21"/>
          <w:szCs w:val="21"/>
        </w:rPr>
        <w:t>Grundpflege</w:t>
      </w:r>
      <w:r>
        <w:rPr>
          <w:rFonts w:ascii="Arial Black" w:hAnsi="Arial Black" w:cs="Arial"/>
          <w:b/>
          <w:bCs/>
          <w:sz w:val="21"/>
          <w:szCs w:val="21"/>
        </w:rPr>
        <w:t>,</w:t>
      </w:r>
      <w:r w:rsidRPr="001F25F0">
        <w:rPr>
          <w:rFonts w:ascii="Arial" w:hAnsi="Arial" w:cs="Arial"/>
          <w:sz w:val="21"/>
          <w:szCs w:val="21"/>
        </w:rPr>
        <w:t xml:space="preserve"> Pflege bei leichten Krankheitsfällen und </w:t>
      </w:r>
      <w:r w:rsidRPr="00B6484A">
        <w:rPr>
          <w:rFonts w:ascii="Arial" w:hAnsi="Arial" w:cs="Arial"/>
          <w:bCs/>
          <w:sz w:val="21"/>
          <w:szCs w:val="21"/>
        </w:rPr>
        <w:t>Medikamentenabgabe</w:t>
      </w:r>
      <w:r w:rsidRPr="001F25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gemäss</w:t>
      </w:r>
      <w:r w:rsidRPr="001F25F0">
        <w:rPr>
          <w:rFonts w:ascii="Arial" w:hAnsi="Arial" w:cs="Arial"/>
          <w:sz w:val="21"/>
          <w:szCs w:val="21"/>
        </w:rPr>
        <w:t xml:space="preserve"> Betriebs- und Betreuungskonzept. Bei Leistungen, deren Kosten ganz oder teilweise vom Krankenversicherer oder von weiteren Zahlungspflichtigen (wie Unfallversicherungen) übernommen werden müssen, können für die Bewohnerin oder den Bewohner weitere Kosten anfallen</w:t>
      </w:r>
      <w:r w:rsidRPr="001F25F0">
        <w:rPr>
          <w:rFonts w:ascii="Arial" w:hAnsi="Arial" w:cs="Arial"/>
          <w:color w:val="000000"/>
          <w:sz w:val="21"/>
          <w:szCs w:val="21"/>
        </w:rPr>
        <w:t xml:space="preserve">. </w:t>
      </w:r>
      <w:r w:rsidRPr="001F25F0">
        <w:rPr>
          <w:rFonts w:ascii="Arial" w:hAnsi="Arial" w:cs="Arial"/>
          <w:sz w:val="21"/>
          <w:szCs w:val="21"/>
        </w:rPr>
        <w:t>Neben dem Selbstbehalt und der Franchise sind bei einer durch die Spitex durchgeführten Langzeitpflege die Patientenbeteiligung und die Restkostenbeteiligung der Gemeinden relevant.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>Nicht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sz w:val="21"/>
          <w:szCs w:val="21"/>
        </w:rPr>
        <w:t>KVG-pflichtige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sz w:val="21"/>
          <w:szCs w:val="21"/>
        </w:rPr>
        <w:t>Therapien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>gemäss Betriebs- und Betreuungskonzept</w:t>
      </w:r>
    </w:p>
    <w:p w:rsidR="00CA1508" w:rsidRDefault="00CA1508" w:rsidP="00CA1508">
      <w:pPr>
        <w:rPr>
          <w:rFonts w:ascii="Arial" w:hAnsi="Arial" w:cs="Arial"/>
          <w:sz w:val="21"/>
          <w:szCs w:val="21"/>
        </w:rPr>
      </w:pPr>
    </w:p>
    <w:p w:rsidR="00CA1508" w:rsidRPr="006A6F5E" w:rsidRDefault="00CA1508" w:rsidP="00CA1508">
      <w:pPr>
        <w:spacing w:before="240" w:after="120" w:line="240" w:lineRule="exact"/>
        <w:ind w:firstLine="357"/>
        <w:rPr>
          <w:rFonts w:ascii="Arial" w:hAnsi="Arial" w:cs="Arial"/>
          <w:sz w:val="21"/>
          <w:szCs w:val="21"/>
        </w:rPr>
      </w:pPr>
      <w:r w:rsidRPr="006A6F5E">
        <w:rPr>
          <w:rFonts w:ascii="Arial" w:hAnsi="Arial" w:cs="Arial"/>
          <w:sz w:val="21"/>
          <w:szCs w:val="21"/>
        </w:rPr>
        <w:lastRenderedPageBreak/>
        <w:t>Transport und Freizeitaktivitäten</w:t>
      </w:r>
      <w:bookmarkStart w:id="0" w:name="_GoBack"/>
      <w:bookmarkEnd w:id="0"/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bCs/>
          <w:sz w:val="21"/>
          <w:szCs w:val="21"/>
        </w:rPr>
        <w:t>Transport und Begleitung für den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Arztbesuch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und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Therapien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bCs/>
          <w:sz w:val="21"/>
          <w:szCs w:val="21"/>
        </w:rPr>
        <w:t xml:space="preserve">(inkl. </w:t>
      </w:r>
      <w:proofErr w:type="spellStart"/>
      <w:r w:rsidRPr="001F25F0">
        <w:rPr>
          <w:rFonts w:ascii="Arial" w:hAnsi="Arial" w:cs="Arial"/>
          <w:bCs/>
          <w:sz w:val="21"/>
          <w:szCs w:val="21"/>
        </w:rPr>
        <w:t>Podologie</w:t>
      </w:r>
      <w:proofErr w:type="spellEnd"/>
      <w:r w:rsidRPr="001F25F0">
        <w:rPr>
          <w:rFonts w:ascii="Arial" w:hAnsi="Arial" w:cs="Arial"/>
          <w:bCs/>
          <w:sz w:val="21"/>
          <w:szCs w:val="21"/>
        </w:rPr>
        <w:t xml:space="preserve"> und Dentalhygiene)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(</w:t>
      </w:r>
      <w:r w:rsidRPr="001855DE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kann nach Dringlichkeit oder Radius differenziert werden →→ Leistungen mit Kostenbeteiligung); Transportkosten zur nächstgelegenen Behandlungsstelle können im Rahmen der Ergänzungsleistungen für Krankheits- und Behinderungskosten geltend gemacht werden. Weitere Zahlungspflichtige (wie Kranken-, Unfallversicherungen oder Beiträge der Zusatzleistungen) können ebenfalls belangt werden. →→ hier 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oder bei den Leistungen mit Kostenbeteiligung erwähnen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rPr>
          <w:rFonts w:ascii="Arial" w:hAnsi="Arial" w:cs="Arial"/>
          <w:b/>
          <w:sz w:val="21"/>
          <w:szCs w:val="21"/>
        </w:rPr>
      </w:pPr>
      <w:r w:rsidRPr="001F25F0">
        <w:rPr>
          <w:rFonts w:ascii="Arial" w:hAnsi="Arial" w:cs="Arial"/>
          <w:bCs/>
          <w:sz w:val="21"/>
          <w:szCs w:val="21"/>
        </w:rPr>
        <w:t>Transport und Begleitung bei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Behördengängen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>(exklusive reine Transportkosten)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rPr>
          <w:rFonts w:ascii="Arial" w:hAnsi="Arial" w:cs="Arial"/>
          <w:sz w:val="21"/>
          <w:szCs w:val="21"/>
        </w:rPr>
      </w:pPr>
      <w:r w:rsidRPr="001F25F0">
        <w:rPr>
          <w:rFonts w:ascii="Arial Black" w:hAnsi="Arial Black" w:cs="Arial"/>
          <w:b/>
          <w:bCs/>
          <w:sz w:val="21"/>
          <w:szCs w:val="21"/>
        </w:rPr>
        <w:t>Kollektive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bCs/>
          <w:sz w:val="21"/>
          <w:szCs w:val="21"/>
        </w:rPr>
        <w:t>Freizeitangebote</w:t>
      </w:r>
      <w:r w:rsidRPr="001F25F0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(Spezialangebote wie z.B.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 Kino, </w:t>
      </w:r>
      <w:r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Museum, Zoo, 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Ferienlager sowie für Transportkosten </w:t>
      </w:r>
      <w:r w:rsidRPr="00DC2C6A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sym w:font="Wingdings" w:char="F0E0"/>
      </w:r>
      <w:r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 an dieser Stelle 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oder bei den Leistungen mit Kostenbeteiligung </w:t>
      </w:r>
      <w:r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aufführen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)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</w:rPr>
        <w:t xml:space="preserve"> </w:t>
      </w:r>
    </w:p>
    <w:p w:rsidR="00CA1508" w:rsidRPr="001F25F0" w:rsidRDefault="00CA1508" w:rsidP="00CA1508">
      <w:pPr>
        <w:numPr>
          <w:ilvl w:val="0"/>
          <w:numId w:val="1"/>
        </w:numPr>
        <w:spacing w:after="120" w:line="240" w:lineRule="exact"/>
        <w:rPr>
          <w:rFonts w:ascii="Arial Black" w:hAnsi="Arial Black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>Transport, Begleitung und Betreuung bei</w:t>
      </w:r>
      <w:r w:rsidRPr="001F25F0">
        <w:rPr>
          <w:rFonts w:ascii="Arial" w:hAnsi="Arial" w:cs="Arial"/>
          <w:bCs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sz w:val="21"/>
          <w:szCs w:val="21"/>
        </w:rPr>
        <w:t>individuellen</w:t>
      </w:r>
      <w:r w:rsidRPr="001F25F0">
        <w:rPr>
          <w:rFonts w:ascii="Arial" w:hAnsi="Arial" w:cs="Arial"/>
          <w:b/>
          <w:sz w:val="21"/>
          <w:szCs w:val="21"/>
        </w:rPr>
        <w:t xml:space="preserve"> </w:t>
      </w:r>
      <w:r w:rsidRPr="001F25F0">
        <w:rPr>
          <w:rFonts w:ascii="Arial Black" w:hAnsi="Arial Black" w:cs="Arial"/>
          <w:b/>
          <w:sz w:val="21"/>
          <w:szCs w:val="21"/>
        </w:rPr>
        <w:t>Freizeitaktivitäten</w:t>
      </w:r>
      <w:r w:rsidRPr="001F25F0">
        <w:rPr>
          <w:rFonts w:ascii="Arial" w:hAnsi="Arial" w:cs="Arial"/>
          <w:bCs/>
          <w:sz w:val="21"/>
          <w:szCs w:val="21"/>
        </w:rPr>
        <w:t xml:space="preserve"> </w:t>
      </w:r>
      <w:r w:rsidRPr="001F25F0">
        <w:rPr>
          <w:rFonts w:ascii="Arial" w:hAnsi="Arial" w:cs="Arial"/>
          <w:sz w:val="21"/>
          <w:szCs w:val="21"/>
        </w:rPr>
        <w:t xml:space="preserve">gemäss Betriebs- und Betreuungskonzept </w:t>
      </w:r>
    </w:p>
    <w:p w:rsidR="00CA1508" w:rsidRPr="001F25F0" w:rsidRDefault="00CA1508" w:rsidP="00CA1508">
      <w:pPr>
        <w:spacing w:line="240" w:lineRule="exact"/>
        <w:rPr>
          <w:rFonts w:ascii="Arial Black" w:hAnsi="Arial Black" w:cs="Arial"/>
          <w:b/>
          <w:sz w:val="21"/>
          <w:szCs w:val="21"/>
        </w:rPr>
      </w:pPr>
      <w:r>
        <w:rPr>
          <w:rFonts w:ascii="Arial Black" w:hAnsi="Arial Black" w:cs="Arial"/>
          <w:b/>
          <w:sz w:val="21"/>
          <w:szCs w:val="21"/>
        </w:rPr>
        <w:br/>
      </w:r>
      <w:r w:rsidRPr="001F25F0">
        <w:rPr>
          <w:rFonts w:ascii="Arial Black" w:hAnsi="Arial Black" w:cs="Arial"/>
          <w:b/>
          <w:sz w:val="21"/>
          <w:szCs w:val="21"/>
        </w:rPr>
        <w:t>Leistungen mit Kostenbeteiligung</w:t>
      </w:r>
    </w:p>
    <w:p w:rsidR="00CA1508" w:rsidRPr="001F25F0" w:rsidRDefault="00CA1508" w:rsidP="00CA1508">
      <w:pPr>
        <w:tabs>
          <w:tab w:val="left" w:pos="993"/>
          <w:tab w:val="left" w:pos="2127"/>
          <w:tab w:val="left" w:pos="3828"/>
        </w:tabs>
        <w:spacing w:afterLines="60" w:after="144" w:line="240" w:lineRule="exact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>Leistung</w:t>
      </w:r>
      <w:r w:rsidRPr="001F25F0">
        <w:rPr>
          <w:rFonts w:ascii="Arial" w:hAnsi="Arial" w:cs="Arial"/>
          <w:sz w:val="21"/>
          <w:szCs w:val="21"/>
        </w:rPr>
        <w:tab/>
      </w:r>
      <w:r w:rsidRPr="001F25F0">
        <w:rPr>
          <w:rFonts w:ascii="Arial" w:hAnsi="Arial" w:cs="Arial"/>
          <w:sz w:val="21"/>
          <w:szCs w:val="21"/>
        </w:rPr>
        <w:tab/>
        <w:t>Preis</w:t>
      </w:r>
      <w:r w:rsidRPr="001F25F0">
        <w:rPr>
          <w:rFonts w:ascii="Arial" w:hAnsi="Arial" w:cs="Arial"/>
          <w:sz w:val="21"/>
          <w:szCs w:val="21"/>
        </w:rPr>
        <w:tab/>
        <w:t>Bemerkungen</w:t>
      </w:r>
    </w:p>
    <w:p w:rsidR="00CA1508" w:rsidRPr="001F25F0" w:rsidRDefault="00CA1508" w:rsidP="00CA1508">
      <w:pPr>
        <w:tabs>
          <w:tab w:val="left" w:pos="993"/>
          <w:tab w:val="left" w:pos="2127"/>
          <w:tab w:val="left" w:pos="3828"/>
        </w:tabs>
        <w:spacing w:afterLines="60" w:after="144" w:line="240" w:lineRule="exact"/>
        <w:rPr>
          <w:rFonts w:ascii="Arial" w:hAnsi="Arial" w:cs="Arial"/>
          <w:color w:val="2F5496" w:themeColor="accent5" w:themeShade="BF"/>
          <w:sz w:val="21"/>
          <w:szCs w:val="21"/>
        </w:rPr>
      </w:pP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Durch die </w:t>
      </w:r>
      <w:r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Institution</w:t>
      </w:r>
      <w:r w:rsidRPr="001F25F0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 xml:space="preserve"> auszufüllen</w:t>
      </w:r>
      <w:r>
        <w:rPr>
          <w:rFonts w:ascii="Arial" w:hAnsi="Arial" w:cs="Arial"/>
          <w:color w:val="2F5496" w:themeColor="accent5" w:themeShade="BF"/>
          <w:sz w:val="21"/>
          <w:szCs w:val="21"/>
        </w:rPr>
        <w:br/>
      </w:r>
    </w:p>
    <w:p w:rsidR="00CA1508" w:rsidRPr="001F25F0" w:rsidRDefault="00CA1508" w:rsidP="00CA1508">
      <w:pPr>
        <w:spacing w:afterLines="60" w:after="144" w:line="240" w:lineRule="exact"/>
        <w:rPr>
          <w:rFonts w:ascii="Arial Black" w:hAnsi="Arial Black" w:cs="Arial"/>
          <w:b/>
          <w:sz w:val="21"/>
          <w:szCs w:val="21"/>
        </w:rPr>
      </w:pPr>
      <w:r w:rsidRPr="001F25F0">
        <w:rPr>
          <w:rFonts w:ascii="Arial Black" w:hAnsi="Arial Black" w:cs="Arial"/>
          <w:b/>
          <w:sz w:val="21"/>
          <w:szCs w:val="21"/>
        </w:rPr>
        <w:t xml:space="preserve">Gültigkeit der Taxordnung </w:t>
      </w:r>
    </w:p>
    <w:p w:rsidR="00CA1508" w:rsidRPr="001F25F0" w:rsidRDefault="00CA1508" w:rsidP="00CA1508">
      <w:pPr>
        <w:spacing w:afterLines="60" w:after="144" w:line="240" w:lineRule="exact"/>
        <w:jc w:val="both"/>
        <w:rPr>
          <w:rFonts w:ascii="Arial" w:hAnsi="Arial" w:cs="Arial"/>
          <w:sz w:val="21"/>
          <w:szCs w:val="21"/>
        </w:rPr>
      </w:pPr>
      <w:r w:rsidRPr="001F25F0">
        <w:rPr>
          <w:rFonts w:ascii="Arial" w:hAnsi="Arial" w:cs="Arial"/>
          <w:sz w:val="21"/>
          <w:szCs w:val="21"/>
        </w:rPr>
        <w:t>Diese Taxordnung gilt für das Jahr 20</w:t>
      </w:r>
      <w:r>
        <w:rPr>
          <w:rFonts w:ascii="Arial" w:hAnsi="Arial" w:cs="Arial"/>
          <w:sz w:val="21"/>
          <w:szCs w:val="21"/>
        </w:rPr>
        <w:t>2</w:t>
      </w:r>
      <w:r w:rsidRPr="00F8633B">
        <w:rPr>
          <w:rFonts w:ascii="Arial" w:hAnsi="Arial" w:cs="Arial"/>
          <w:color w:val="2F5496" w:themeColor="accent5" w:themeShade="BF"/>
          <w:sz w:val="21"/>
          <w:szCs w:val="21"/>
          <w:highlight w:val="lightGray"/>
        </w:rPr>
        <w:t>Y</w:t>
      </w:r>
      <w:r w:rsidRPr="001F25F0">
        <w:rPr>
          <w:rFonts w:ascii="Arial" w:hAnsi="Arial" w:cs="Arial"/>
          <w:sz w:val="21"/>
          <w:szCs w:val="21"/>
        </w:rPr>
        <w:t xml:space="preserve">. </w:t>
      </w:r>
      <w:r w:rsidRPr="00A6075E">
        <w:rPr>
          <w:rFonts w:ascii="Arial" w:hAnsi="Arial" w:cs="Arial"/>
          <w:sz w:val="21"/>
          <w:szCs w:val="21"/>
          <w:highlight w:val="green"/>
        </w:rPr>
        <w:t>Das Kantonale Sozialamt legt die Taxen für das Folgejahr jeweils Ende Jahr fest</w:t>
      </w:r>
      <w:r w:rsidRPr="00F8633B">
        <w:rPr>
          <w:rStyle w:val="Funotenzeichen"/>
          <w:rFonts w:ascii="Arial" w:hAnsi="Arial"/>
          <w:sz w:val="21"/>
        </w:rPr>
        <w:footnoteReference w:id="8"/>
      </w:r>
      <w:r w:rsidRPr="0066684E">
        <w:rPr>
          <w:rFonts w:ascii="Arial" w:hAnsi="Arial" w:cs="Arial"/>
          <w:sz w:val="21"/>
          <w:szCs w:val="21"/>
          <w:highlight w:val="green"/>
        </w:rPr>
        <w:t>.</w:t>
      </w:r>
      <w:r w:rsidRPr="001F25F0">
        <w:rPr>
          <w:rFonts w:ascii="Arial" w:hAnsi="Arial" w:cs="Arial"/>
          <w:sz w:val="21"/>
          <w:szCs w:val="21"/>
        </w:rPr>
        <w:t xml:space="preserve"> Die Mitteilung über allfällige Veränderungen der Taxen erhalten die Bewohnerinnen und Bewohner bis spätestens Mitte Dezember.</w:t>
      </w:r>
    </w:p>
    <w:p w:rsidR="00CA1508" w:rsidRPr="001F25F0" w:rsidRDefault="00CA1508" w:rsidP="00CA1508">
      <w:pPr>
        <w:spacing w:line="312" w:lineRule="auto"/>
        <w:rPr>
          <w:rFonts w:ascii="Arial" w:hAnsi="Arial" w:cs="Arial"/>
          <w:sz w:val="21"/>
          <w:szCs w:val="21"/>
        </w:rPr>
      </w:pPr>
    </w:p>
    <w:p w:rsidR="00CA1508" w:rsidRPr="00CA1508" w:rsidRDefault="00CA1508" w:rsidP="00CA1508">
      <w:pPr>
        <w:tabs>
          <w:tab w:val="left" w:pos="2296"/>
        </w:tabs>
        <w:rPr>
          <w:rFonts w:ascii="Arial Black" w:hAnsi="Arial Black"/>
          <w:sz w:val="32"/>
          <w:szCs w:val="32"/>
        </w:rPr>
      </w:pPr>
    </w:p>
    <w:sectPr w:rsidR="00CA1508" w:rsidRPr="00CA1508" w:rsidSect="00CA1508">
      <w:headerReference w:type="default" r:id="rId8"/>
      <w:pgSz w:w="11906" w:h="16838"/>
      <w:pgMar w:top="1418" w:right="93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4A" w:rsidRDefault="00614C4A" w:rsidP="00614C4A">
      <w:pPr>
        <w:spacing w:after="0" w:line="240" w:lineRule="auto"/>
      </w:pPr>
      <w:r>
        <w:separator/>
      </w:r>
    </w:p>
  </w:endnote>
  <w:endnote w:type="continuationSeparator" w:id="0">
    <w:p w:rsidR="00614C4A" w:rsidRDefault="00614C4A" w:rsidP="0061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4A" w:rsidRDefault="00614C4A" w:rsidP="00614C4A">
      <w:pPr>
        <w:spacing w:after="0" w:line="240" w:lineRule="auto"/>
      </w:pPr>
      <w:r>
        <w:separator/>
      </w:r>
    </w:p>
  </w:footnote>
  <w:footnote w:type="continuationSeparator" w:id="0">
    <w:p w:rsidR="00614C4A" w:rsidRDefault="00614C4A" w:rsidP="00614C4A">
      <w:pPr>
        <w:spacing w:after="0" w:line="240" w:lineRule="auto"/>
      </w:pPr>
      <w:r>
        <w:continuationSeparator/>
      </w:r>
    </w:p>
  </w:footnote>
  <w:footnote w:id="1">
    <w:p w:rsidR="00CA1508" w:rsidRPr="00D3232F" w:rsidRDefault="00CA1508" w:rsidP="00CA1508">
      <w:pPr>
        <w:pStyle w:val="Funotentext"/>
        <w:rPr>
          <w:rFonts w:ascii="Arial" w:hAnsi="Arial" w:cs="Arial"/>
          <w:sz w:val="18"/>
          <w:szCs w:val="18"/>
        </w:rPr>
      </w:pPr>
      <w:r w:rsidRPr="00731DC9">
        <w:rPr>
          <w:rStyle w:val="Funotenzeichen"/>
          <w:rFonts w:ascii="Arial" w:hAnsi="Arial" w:cs="Arial"/>
          <w:sz w:val="18"/>
          <w:szCs w:val="18"/>
          <w:highlight w:val="green"/>
        </w:rPr>
        <w:footnoteRef/>
      </w:r>
      <w:r w:rsidRPr="00731DC9">
        <w:rPr>
          <w:rFonts w:ascii="Arial" w:hAnsi="Arial" w:cs="Arial"/>
          <w:sz w:val="18"/>
          <w:szCs w:val="18"/>
          <w:highlight w:val="green"/>
        </w:rPr>
        <w:t xml:space="preserve"> Neben Personen mit Rente gilt diese Taxordnung auch für Personen ohne Rente mit IV-Status gemäss ATSG sowie Personen im AHV-Alter mit Besitzstandswahrung.</w:t>
      </w:r>
    </w:p>
  </w:footnote>
  <w:footnote w:id="2">
    <w:p w:rsidR="00CA1508" w:rsidRPr="00D3232F" w:rsidRDefault="00CA1508" w:rsidP="00CA1508">
      <w:pPr>
        <w:pStyle w:val="Funotentext"/>
        <w:rPr>
          <w:rFonts w:ascii="Arial" w:hAnsi="Arial" w:cs="Arial"/>
          <w:sz w:val="18"/>
          <w:szCs w:val="18"/>
        </w:rPr>
      </w:pPr>
      <w:r w:rsidRPr="00F8633B">
        <w:rPr>
          <w:rStyle w:val="Funotenzeichen"/>
          <w:rFonts w:ascii="Arial" w:hAnsi="Arial"/>
          <w:sz w:val="18"/>
          <w:highlight w:val="green"/>
        </w:rPr>
        <w:footnoteRef/>
      </w:r>
      <w:r w:rsidRPr="00F8633B">
        <w:rPr>
          <w:rFonts w:ascii="Arial" w:hAnsi="Arial"/>
          <w:sz w:val="18"/>
          <w:highlight w:val="green"/>
        </w:rPr>
        <w:t xml:space="preserve"> Beitragsberechtigt sind Wohnplätze, für die das Kantonale Sozialamt eine Leistungsvereinbarung abgeschlossen hat.</w:t>
      </w:r>
      <w:r w:rsidRPr="00D3232F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CA1508" w:rsidRPr="00D3232F" w:rsidRDefault="00CA1508" w:rsidP="00CA150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8633B">
        <w:rPr>
          <w:rStyle w:val="Funotenzeichen"/>
          <w:rFonts w:ascii="Arial" w:hAnsi="Arial"/>
          <w:sz w:val="18"/>
          <w:highlight w:val="green"/>
        </w:rPr>
        <w:footnoteRef/>
      </w:r>
      <w:r w:rsidRPr="00F8633B">
        <w:rPr>
          <w:rFonts w:ascii="Arial" w:hAnsi="Arial"/>
          <w:sz w:val="18"/>
          <w:highlight w:val="green"/>
        </w:rPr>
        <w:t xml:space="preserve"> «Normkosten» bedeutet, dass das Kantonale Sozialamt aufgrund der Daten aller Institutionen festlegt, wie hoch der Durchschnittsaufwand aller </w:t>
      </w:r>
      <w:r w:rsidRPr="00FF5AF0">
        <w:rPr>
          <w:rFonts w:ascii="Arial" w:hAnsi="Arial" w:cs="Arial"/>
          <w:sz w:val="18"/>
          <w:szCs w:val="18"/>
          <w:highlight w:val="green"/>
        </w:rPr>
        <w:t xml:space="preserve">Institutionen </w:t>
      </w:r>
      <w:r w:rsidRPr="00731DC9">
        <w:rPr>
          <w:rFonts w:ascii="Arial" w:hAnsi="Arial" w:cs="Arial"/>
          <w:sz w:val="18"/>
          <w:szCs w:val="18"/>
          <w:highlight w:val="green"/>
        </w:rPr>
        <w:t>für</w:t>
      </w:r>
      <w:r w:rsidRPr="00FF5AF0">
        <w:rPr>
          <w:rFonts w:ascii="Arial" w:hAnsi="Arial"/>
          <w:sz w:val="18"/>
          <w:highlight w:val="green"/>
        </w:rPr>
        <w:t xml:space="preserve"> </w:t>
      </w:r>
      <w:r w:rsidRPr="00F8633B">
        <w:rPr>
          <w:rFonts w:ascii="Arial" w:hAnsi="Arial"/>
          <w:sz w:val="18"/>
          <w:highlight w:val="green"/>
        </w:rPr>
        <w:t>die jeweils betroffene Leistung ist. Dieser Wert kann somit von unseren effektiven Kosten abweichen</w:t>
      </w:r>
      <w:r w:rsidRPr="00D3232F">
        <w:rPr>
          <w:rFonts w:ascii="Arial" w:hAnsi="Arial" w:cs="Arial"/>
          <w:sz w:val="18"/>
          <w:szCs w:val="18"/>
        </w:rPr>
        <w:t>.</w:t>
      </w:r>
    </w:p>
  </w:footnote>
  <w:footnote w:id="4">
    <w:p w:rsidR="00CA1508" w:rsidRPr="00D3232F" w:rsidRDefault="00CA1508" w:rsidP="00CA1508">
      <w:pPr>
        <w:pStyle w:val="Funotentext"/>
        <w:rPr>
          <w:rFonts w:ascii="Arial" w:hAnsi="Arial" w:cs="Arial"/>
          <w:sz w:val="18"/>
          <w:szCs w:val="18"/>
        </w:rPr>
      </w:pPr>
      <w:r w:rsidRPr="00F8633B">
        <w:rPr>
          <w:rStyle w:val="Funotenzeichen"/>
          <w:rFonts w:ascii="Arial" w:hAnsi="Arial"/>
          <w:sz w:val="18"/>
          <w:highlight w:val="yellow"/>
        </w:rPr>
        <w:footnoteRef/>
      </w:r>
      <w:r w:rsidRPr="00F8633B">
        <w:rPr>
          <w:rFonts w:ascii="Arial" w:hAnsi="Arial"/>
          <w:sz w:val="18"/>
          <w:highlight w:val="yellow"/>
        </w:rPr>
        <w:t xml:space="preserve"> Ein Rating ist notwendig, da der Bedarf nach Betreuung von Mensch zu Mensch unterschiedlich ist. Der </w:t>
      </w:r>
      <w:r w:rsidRPr="00FF5AF0">
        <w:rPr>
          <w:rFonts w:ascii="Arial" w:hAnsi="Arial" w:cs="Arial"/>
          <w:sz w:val="18"/>
          <w:szCs w:val="18"/>
          <w:highlight w:val="yellow"/>
        </w:rPr>
        <w:t xml:space="preserve">Kanton </w:t>
      </w:r>
      <w:r w:rsidRPr="00F8633B">
        <w:rPr>
          <w:rFonts w:ascii="Arial" w:hAnsi="Arial"/>
          <w:sz w:val="18"/>
          <w:highlight w:val="yellow"/>
        </w:rPr>
        <w:t>misst diesen Bedarf anhand des Instruments IBB</w:t>
      </w:r>
      <w:r w:rsidRPr="00F8633B">
        <w:rPr>
          <w:rFonts w:ascii="Arial" w:hAnsi="Arial"/>
          <w:sz w:val="18"/>
          <w:highlight w:val="yellow"/>
          <w:vertAlign w:val="superscript"/>
        </w:rPr>
        <w:t>©</w:t>
      </w:r>
      <w:r w:rsidRPr="00F8633B">
        <w:rPr>
          <w:rFonts w:ascii="Arial" w:hAnsi="Arial"/>
          <w:sz w:val="18"/>
          <w:highlight w:val="yellow"/>
        </w:rPr>
        <w:t>.  IBB</w:t>
      </w:r>
      <w:r w:rsidRPr="00F8633B">
        <w:rPr>
          <w:rFonts w:ascii="Arial" w:hAnsi="Arial"/>
          <w:sz w:val="18"/>
          <w:highlight w:val="yellow"/>
          <w:vertAlign w:val="superscript"/>
        </w:rPr>
        <w:t>©</w:t>
      </w:r>
      <w:r w:rsidRPr="00F8633B">
        <w:rPr>
          <w:rFonts w:ascii="Arial" w:hAnsi="Arial"/>
          <w:sz w:val="18"/>
          <w:highlight w:val="yellow"/>
        </w:rPr>
        <w:t xml:space="preserve"> steht für «individueller Betreuungsbedarf».</w:t>
      </w:r>
    </w:p>
  </w:footnote>
  <w:footnote w:id="5">
    <w:p w:rsidR="00CA1508" w:rsidRPr="00D3232F" w:rsidRDefault="00CA1508" w:rsidP="00CA1508">
      <w:pPr>
        <w:pStyle w:val="Funotentext"/>
        <w:rPr>
          <w:rFonts w:ascii="Arial" w:hAnsi="Arial" w:cs="Arial"/>
          <w:sz w:val="18"/>
          <w:szCs w:val="18"/>
        </w:rPr>
      </w:pPr>
      <w:r w:rsidRPr="00D3232F">
        <w:rPr>
          <w:rStyle w:val="Funotenzeichen"/>
          <w:rFonts w:ascii="Arial" w:hAnsi="Arial" w:cs="Arial"/>
          <w:sz w:val="18"/>
          <w:szCs w:val="18"/>
        </w:rPr>
        <w:footnoteRef/>
      </w:r>
      <w:r w:rsidRPr="00D3232F">
        <w:rPr>
          <w:rFonts w:ascii="Arial" w:hAnsi="Arial" w:cs="Arial"/>
          <w:sz w:val="18"/>
          <w:szCs w:val="18"/>
        </w:rPr>
        <w:t xml:space="preserve"> In diesen Beträgen ist eine eventuelle </w:t>
      </w:r>
      <w:proofErr w:type="spellStart"/>
      <w:r w:rsidRPr="00D3232F">
        <w:rPr>
          <w:rFonts w:ascii="Arial" w:hAnsi="Arial" w:cs="Arial"/>
          <w:sz w:val="18"/>
          <w:szCs w:val="18"/>
        </w:rPr>
        <w:t>Hilflosenentschädigung</w:t>
      </w:r>
      <w:proofErr w:type="spellEnd"/>
      <w:r w:rsidRPr="00D3232F">
        <w:rPr>
          <w:rFonts w:ascii="Arial" w:hAnsi="Arial" w:cs="Arial"/>
          <w:sz w:val="18"/>
          <w:szCs w:val="18"/>
        </w:rPr>
        <w:t xml:space="preserve"> bereits enthalten.</w:t>
      </w:r>
    </w:p>
  </w:footnote>
  <w:footnote w:id="6">
    <w:p w:rsidR="00CA1508" w:rsidRPr="00D3232F" w:rsidRDefault="00CA1508" w:rsidP="00CA1508">
      <w:pPr>
        <w:pStyle w:val="Funotentext"/>
        <w:rPr>
          <w:rFonts w:ascii="Arial" w:hAnsi="Arial" w:cs="Arial"/>
          <w:sz w:val="18"/>
          <w:szCs w:val="18"/>
        </w:rPr>
      </w:pPr>
      <w:r w:rsidRPr="00D3232F">
        <w:rPr>
          <w:rStyle w:val="Funotenzeichen"/>
          <w:rFonts w:ascii="Arial" w:hAnsi="Arial" w:cs="Arial"/>
          <w:sz w:val="18"/>
          <w:szCs w:val="18"/>
        </w:rPr>
        <w:footnoteRef/>
      </w:r>
      <w:r w:rsidRPr="00D3232F">
        <w:rPr>
          <w:rFonts w:ascii="Arial" w:hAnsi="Arial" w:cs="Arial"/>
          <w:sz w:val="18"/>
          <w:szCs w:val="18"/>
        </w:rPr>
        <w:t xml:space="preserve"> Für die Umrechnung der Tages- in die Monatspauschale wird die Tagesspauschale mit 365.25 multipliziert und durch 12 geteilt.</w:t>
      </w:r>
    </w:p>
  </w:footnote>
  <w:footnote w:id="7">
    <w:p w:rsidR="00CA1508" w:rsidRDefault="00CA1508" w:rsidP="00CA1508">
      <w:pPr>
        <w:pStyle w:val="Funotentext"/>
      </w:pPr>
      <w:r w:rsidRPr="00DC7464">
        <w:rPr>
          <w:rStyle w:val="Funotenzeichen"/>
          <w:rFonts w:ascii="Arial" w:hAnsi="Arial"/>
          <w:sz w:val="18"/>
          <w:highlight w:val="yellow"/>
        </w:rPr>
        <w:footnoteRef/>
      </w:r>
      <w:r w:rsidRPr="00DC7464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DC7464">
        <w:rPr>
          <w:rFonts w:ascii="Arial" w:hAnsi="Arial"/>
          <w:sz w:val="18"/>
          <w:highlight w:val="yellow"/>
        </w:rPr>
        <w:t xml:space="preserve">Taxen </w:t>
      </w:r>
      <w:r w:rsidRPr="00F8633B">
        <w:rPr>
          <w:rFonts w:ascii="Arial" w:hAnsi="Arial"/>
          <w:sz w:val="18"/>
          <w:highlight w:val="yellow"/>
        </w:rPr>
        <w:t>für Menschen mit IBB 0 sind niedriger als diejenigen für Menschen mit IBB 1 – 4. Damit wird sichergestellt, dass die Taxen nicht höher als die Normkosten sind.</w:t>
      </w:r>
      <w:r>
        <w:rPr>
          <w:rFonts w:ascii="Calibri Light" w:hAnsi="Calibri Light"/>
          <w:sz w:val="18"/>
        </w:rPr>
        <w:t xml:space="preserve"> </w:t>
      </w:r>
    </w:p>
  </w:footnote>
  <w:footnote w:id="8">
    <w:p w:rsidR="00CA1508" w:rsidRPr="00D3232F" w:rsidRDefault="00CA1508" w:rsidP="00CA1508">
      <w:pPr>
        <w:pStyle w:val="Funotentext"/>
        <w:rPr>
          <w:rFonts w:ascii="Arial" w:hAnsi="Arial" w:cs="Arial"/>
          <w:sz w:val="18"/>
          <w:szCs w:val="18"/>
        </w:rPr>
      </w:pPr>
      <w:r w:rsidRPr="00D3232F">
        <w:rPr>
          <w:rStyle w:val="Funotenzeichen"/>
          <w:rFonts w:ascii="Arial" w:hAnsi="Arial" w:cs="Arial"/>
          <w:sz w:val="18"/>
          <w:szCs w:val="18"/>
        </w:rPr>
        <w:footnoteRef/>
      </w:r>
      <w:r w:rsidRPr="00D323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Das Kantonale Sozialamt legt Maximaltaxen fest.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4A" w:rsidRPr="002937BD" w:rsidRDefault="002937BD">
    <w:pPr>
      <w:pStyle w:val="Kopfzeile"/>
      <w:rPr>
        <w:rFonts w:ascii="Arial" w:hAnsi="Arial" w:cs="Arial"/>
        <w:sz w:val="16"/>
        <w:szCs w:val="16"/>
      </w:rPr>
    </w:pPr>
    <w:r w:rsidRPr="002937BD">
      <w:rPr>
        <w:rFonts w:ascii="Arial" w:hAnsi="Arial" w:cs="Arial"/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47433CFB" wp14:editId="79875334">
          <wp:simplePos x="0" y="0"/>
          <wp:positionH relativeFrom="column">
            <wp:posOffset>-1193836</wp:posOffset>
          </wp:positionH>
          <wp:positionV relativeFrom="paragraph">
            <wp:posOffset>-174170</wp:posOffset>
          </wp:positionV>
          <wp:extent cx="1116722" cy="1079360"/>
          <wp:effectExtent l="0" t="0" r="7620" b="6985"/>
          <wp:wrapNone/>
          <wp:docPr id="1" name="ooImg_1721629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722" cy="107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BD">
      <w:rPr>
        <w:rFonts w:ascii="Arial" w:hAnsi="Arial" w:cs="Arial"/>
        <w:sz w:val="16"/>
        <w:szCs w:val="16"/>
      </w:rPr>
      <w:t>Kanton Zürich</w:t>
    </w:r>
  </w:p>
  <w:p w:rsidR="002937BD" w:rsidRPr="002937BD" w:rsidRDefault="002937BD">
    <w:pPr>
      <w:pStyle w:val="Kopfzeile"/>
      <w:rPr>
        <w:rFonts w:ascii="Arial" w:hAnsi="Arial" w:cs="Arial"/>
        <w:sz w:val="16"/>
        <w:szCs w:val="16"/>
      </w:rPr>
    </w:pPr>
    <w:r w:rsidRPr="002937BD">
      <w:rPr>
        <w:rFonts w:ascii="Arial" w:hAnsi="Arial" w:cs="Arial"/>
        <w:sz w:val="16"/>
        <w:szCs w:val="16"/>
      </w:rPr>
      <w:t>Sicherheitsdirektion</w:t>
    </w:r>
  </w:p>
  <w:p w:rsidR="002937BD" w:rsidRPr="002937BD" w:rsidRDefault="002937BD">
    <w:pPr>
      <w:pStyle w:val="Kopfzeile"/>
      <w:rPr>
        <w:rFonts w:ascii="Arial Black" w:hAnsi="Arial Black" w:cs="Arial"/>
        <w:sz w:val="16"/>
        <w:szCs w:val="16"/>
      </w:rPr>
    </w:pPr>
    <w:r w:rsidRPr="002937BD">
      <w:rPr>
        <w:rFonts w:ascii="Arial Black" w:hAnsi="Arial Black" w:cs="Arial"/>
        <w:sz w:val="16"/>
        <w:szCs w:val="16"/>
      </w:rPr>
      <w:t>Kantonales Sozialamt</w:t>
    </w:r>
  </w:p>
  <w:p w:rsidR="002937BD" w:rsidRPr="002937BD" w:rsidRDefault="002937BD">
    <w:pPr>
      <w:pStyle w:val="Kopfzeile"/>
      <w:rPr>
        <w:rFonts w:ascii="Arial" w:hAnsi="Arial" w:cs="Arial"/>
        <w:sz w:val="16"/>
        <w:szCs w:val="16"/>
      </w:rPr>
    </w:pPr>
    <w:r w:rsidRPr="002937BD">
      <w:rPr>
        <w:rFonts w:ascii="Arial" w:hAnsi="Arial" w:cs="Arial"/>
        <w:sz w:val="16"/>
        <w:szCs w:val="16"/>
      </w:rPr>
      <w:t>Soziale Angebote</w:t>
    </w:r>
  </w:p>
  <w:p w:rsidR="002937BD" w:rsidRPr="002937BD" w:rsidRDefault="002937BD">
    <w:pPr>
      <w:pStyle w:val="Kopfzeile"/>
      <w:rPr>
        <w:rFonts w:ascii="Arial" w:hAnsi="Arial" w:cs="Arial"/>
        <w:sz w:val="16"/>
        <w:szCs w:val="16"/>
      </w:rPr>
    </w:pPr>
  </w:p>
  <w:p w:rsidR="002937BD" w:rsidRPr="002937BD" w:rsidRDefault="002937BD">
    <w:pPr>
      <w:pStyle w:val="Kopfzeile"/>
      <w:rPr>
        <w:rFonts w:ascii="Arial" w:hAnsi="Arial" w:cs="Arial"/>
        <w:sz w:val="16"/>
        <w:szCs w:val="16"/>
      </w:rPr>
    </w:pPr>
    <w:r w:rsidRPr="002937BD">
      <w:rPr>
        <w:rFonts w:ascii="Arial" w:hAnsi="Arial" w:cs="Arial"/>
        <w:sz w:val="16"/>
        <w:szCs w:val="16"/>
      </w:rPr>
      <w:t>Januar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08" w:rsidRPr="00CA1508" w:rsidRDefault="00CA1508" w:rsidP="00CA15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9C9"/>
    <w:multiLevelType w:val="hybridMultilevel"/>
    <w:tmpl w:val="BC14C7EA"/>
    <w:lvl w:ilvl="0" w:tplc="10BA2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A8B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2AFA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AEB6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E2FD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2E6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03BD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A177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EC6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945A2E"/>
    <w:multiLevelType w:val="hybridMultilevel"/>
    <w:tmpl w:val="B554F302"/>
    <w:lvl w:ilvl="0" w:tplc="CB66A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4A"/>
    <w:rsid w:val="002937BD"/>
    <w:rsid w:val="00510569"/>
    <w:rsid w:val="00614C4A"/>
    <w:rsid w:val="00C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FF2EB"/>
  <w15:chartTrackingRefBased/>
  <w15:docId w15:val="{B01C21BA-7E59-4A53-8EA5-0D42FF2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C4A"/>
  </w:style>
  <w:style w:type="paragraph" w:styleId="Fuzeile">
    <w:name w:val="footer"/>
    <w:basedOn w:val="Standard"/>
    <w:link w:val="FuzeileZchn"/>
    <w:uiPriority w:val="99"/>
    <w:unhideWhenUsed/>
    <w:rsid w:val="0061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C4A"/>
  </w:style>
  <w:style w:type="paragraph" w:styleId="Listenabsatz">
    <w:name w:val="List Paragraph"/>
    <w:basedOn w:val="Standard"/>
    <w:uiPriority w:val="34"/>
    <w:qFormat/>
    <w:rsid w:val="00CA150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A15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15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1508"/>
    <w:rPr>
      <w:vertAlign w:val="superscript"/>
    </w:rPr>
  </w:style>
  <w:style w:type="paragraph" w:customStyle="1" w:styleId="Default">
    <w:name w:val="Default"/>
    <w:rsid w:val="00CA150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Sicherheitsdirektion Kanton Zürich - IBIS-Ämter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Scarfi</dc:creator>
  <cp:keywords/>
  <dc:description/>
  <cp:lastModifiedBy>Lorenzo Scarfi</cp:lastModifiedBy>
  <cp:revision>2</cp:revision>
  <dcterms:created xsi:type="dcterms:W3CDTF">2023-12-19T08:45:00Z</dcterms:created>
  <dcterms:modified xsi:type="dcterms:W3CDTF">2023-12-19T09:37:00Z</dcterms:modified>
</cp:coreProperties>
</file>